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C4111" w14:textId="632E91DC" w:rsidR="00F117C6" w:rsidRPr="00500C4E" w:rsidRDefault="009A0721" w:rsidP="00F117C6">
      <w:pPr>
        <w:pStyle w:val="WPnumber"/>
      </w:pPr>
      <w:bookmarkStart w:id="0" w:name="_Toc153189647"/>
      <w:r>
        <w:t xml:space="preserve">Short Form </w:t>
      </w:r>
      <w:r w:rsidR="00F117C6" w:rsidRPr="00500C4E">
        <w:t>Work</w:t>
      </w:r>
      <w:r w:rsidR="00055713">
        <w:t xml:space="preserve"> P</w:t>
      </w:r>
      <w:r w:rsidR="00F117C6" w:rsidRPr="00500C4E">
        <w:t xml:space="preserve">aper </w:t>
      </w:r>
      <w:sdt>
        <w:sdtPr>
          <w:rPr>
            <w:rFonts w:cs="Arial"/>
          </w:rPr>
          <w:alias w:val="Title"/>
          <w:tag w:val=""/>
          <w:id w:val="650333005"/>
          <w:placeholder>
            <w:docPart w:val="2D1C3A54D61944DBB3D63B92C982C696"/>
          </w:placeholder>
          <w:dataBinding w:prefixMappings="xmlns:ns0='http://purl.org/dc/elements/1.1/' xmlns:ns1='http://schemas.openxmlformats.org/package/2006/metadata/core-properties' " w:xpath="/ns1:coreProperties[1]/ns0:title[1]" w:storeItemID="{6C3C8BC8-F283-45AE-878A-BAB7291924A1}"/>
          <w:text/>
        </w:sdtPr>
        <w:sdtEndPr/>
        <w:sdtContent>
          <w:r w:rsidR="00E97710">
            <w:rPr>
              <w:rFonts w:cs="Arial"/>
            </w:rPr>
            <w:t>WPSDGENRRN0016</w:t>
          </w:r>
        </w:sdtContent>
      </w:sdt>
    </w:p>
    <w:bookmarkEnd w:id="0"/>
    <w:p w14:paraId="0AE90950" w14:textId="0C49DE50" w:rsidR="00F117C6" w:rsidRPr="00500C4E" w:rsidRDefault="002C120D" w:rsidP="00F117C6">
      <w:pPr>
        <w:pStyle w:val="Revnumber"/>
        <w:rPr>
          <w:rStyle w:val="CaptionChar"/>
          <w:b/>
          <w:bCs w:val="0"/>
        </w:rPr>
      </w:pPr>
      <w:sdt>
        <w:sdtPr>
          <w:rPr>
            <w:rStyle w:val="CaptionChar"/>
            <w:b/>
            <w:bCs w:val="0"/>
          </w:rPr>
          <w:alias w:val="Revision"/>
          <w:tag w:val=""/>
          <w:id w:val="-1338455471"/>
          <w:placeholder>
            <w:docPart w:val="5420FAF41CED451EAB8369D8BC2C0B60"/>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26507C">
            <w:rPr>
              <w:rStyle w:val="CaptionChar"/>
              <w:b/>
              <w:bCs w:val="0"/>
            </w:rPr>
            <w:t>Revision 0</w:t>
          </w:r>
        </w:sdtContent>
      </w:sdt>
    </w:p>
    <w:p w14:paraId="2916F743" w14:textId="77777777" w:rsidR="00F117C6" w:rsidRPr="00500C4E" w:rsidRDefault="00F117C6" w:rsidP="00F117C6">
      <w:pPr>
        <w:jc w:val="right"/>
        <w:rPr>
          <w:rFonts w:cstheme="minorHAnsi"/>
          <w:b/>
          <w:sz w:val="48"/>
          <w:szCs w:val="48"/>
        </w:rPr>
      </w:pPr>
    </w:p>
    <w:bookmarkStart w:id="1" w:name="SCE"/>
    <w:p w14:paraId="71189DD4" w14:textId="0C10FEA3" w:rsidR="00F117C6" w:rsidRPr="00500C4E" w:rsidRDefault="002C120D" w:rsidP="00F117C6">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954041495DA644508C725EBE45A9A075"/>
          </w:placeholder>
          <w:dataBinding w:prefixMappings="xmlns:ns0='http://schemas.openxmlformats.org/officeDocument/2006/extended-properties' " w:xpath="/ns0:Properties[1]/ns0:Company[1]" w:storeItemID="{6668398D-A668-4E3E-A5EB-62B293D839F1}"/>
          <w:text/>
        </w:sdtPr>
        <w:sdtEndPr/>
        <w:sdtContent>
          <w:r w:rsidR="00B3313A">
            <w:rPr>
              <w:rFonts w:cstheme="minorHAnsi"/>
              <w:b/>
              <w:sz w:val="36"/>
              <w:szCs w:val="36"/>
            </w:rPr>
            <w:t>San Diego Gas &amp; Electric</w:t>
          </w:r>
        </w:sdtContent>
      </w:sdt>
      <w:bookmarkEnd w:id="1"/>
    </w:p>
    <w:p w14:paraId="586BBBB6" w14:textId="77777777" w:rsidR="00F117C6" w:rsidRPr="006049AE" w:rsidRDefault="006049AE" w:rsidP="00F117C6">
      <w:pPr>
        <w:rPr>
          <w:rFonts w:cstheme="minorHAnsi"/>
          <w:b/>
        </w:rPr>
      </w:pPr>
      <w:r w:rsidRPr="006049AE">
        <w:rPr>
          <w:rFonts w:cstheme="minorHAnsi"/>
          <w:b/>
        </w:rPr>
        <w:t>Energy Efficiency Engineering</w:t>
      </w:r>
    </w:p>
    <w:p w14:paraId="380D0BF6" w14:textId="77777777" w:rsidR="00F117C6" w:rsidRPr="00500C4E" w:rsidRDefault="00F117C6" w:rsidP="00F117C6">
      <w:pPr>
        <w:rPr>
          <w:rFonts w:cstheme="minorHAnsi"/>
        </w:rPr>
      </w:pPr>
    </w:p>
    <w:p w14:paraId="6790A3D9" w14:textId="77777777" w:rsidR="00F117C6" w:rsidRPr="00500C4E" w:rsidRDefault="00F117C6" w:rsidP="00F117C6">
      <w:pPr>
        <w:tabs>
          <w:tab w:val="left" w:pos="8190"/>
        </w:tabs>
        <w:rPr>
          <w:rFonts w:cstheme="minorHAnsi"/>
        </w:rPr>
      </w:pPr>
      <w:r w:rsidRPr="00500C4E">
        <w:rPr>
          <w:rFonts w:cstheme="minorHAnsi"/>
        </w:rPr>
        <w:tab/>
      </w:r>
    </w:p>
    <w:p w14:paraId="32EAA09D" w14:textId="77777777" w:rsidR="00F117C6" w:rsidRPr="00500C4E" w:rsidRDefault="00F117C6" w:rsidP="00BA1280">
      <w:pPr>
        <w:jc w:val="both"/>
        <w:rPr>
          <w:rFonts w:cstheme="minorHAnsi"/>
        </w:rPr>
      </w:pPr>
    </w:p>
    <w:p w14:paraId="6E206646" w14:textId="77777777" w:rsidR="00F117C6" w:rsidRPr="00500C4E" w:rsidRDefault="00F117C6" w:rsidP="00F117C6">
      <w:pPr>
        <w:rPr>
          <w:rFonts w:cstheme="minorHAnsi"/>
        </w:rPr>
      </w:pPr>
    </w:p>
    <w:p w14:paraId="6C0070F5" w14:textId="77777777" w:rsidR="00F117C6" w:rsidRPr="00500C4E" w:rsidRDefault="00F117C6" w:rsidP="00F117C6">
      <w:pPr>
        <w:rPr>
          <w:rFonts w:cstheme="minorHAnsi"/>
        </w:rPr>
      </w:pPr>
    </w:p>
    <w:p w14:paraId="67FA45A3" w14:textId="77777777" w:rsidR="00F117C6" w:rsidRPr="00500C4E" w:rsidRDefault="00F117C6" w:rsidP="00F117C6">
      <w:pPr>
        <w:rPr>
          <w:rFonts w:cstheme="minorHAnsi"/>
        </w:rPr>
      </w:pPr>
    </w:p>
    <w:p w14:paraId="074E67F1" w14:textId="77777777" w:rsidR="00F117C6" w:rsidRPr="00500C4E" w:rsidRDefault="00F117C6" w:rsidP="00F117C6">
      <w:pPr>
        <w:rPr>
          <w:rFonts w:cstheme="minorHAnsi"/>
        </w:rPr>
      </w:pPr>
    </w:p>
    <w:p w14:paraId="341BB6B0" w14:textId="2E4963DD" w:rsidR="00861B74" w:rsidRDefault="000100D2" w:rsidP="000F72EF">
      <w:pPr>
        <w:rPr>
          <w:rFonts w:cstheme="minorHAnsi"/>
          <w:b/>
          <w:sz w:val="72"/>
          <w:szCs w:val="72"/>
        </w:rPr>
      </w:pPr>
      <w:r>
        <w:rPr>
          <w:rFonts w:cstheme="minorHAnsi"/>
          <w:b/>
          <w:sz w:val="72"/>
          <w:szCs w:val="72"/>
        </w:rPr>
        <w:t>High Efficiency Ultra-</w:t>
      </w:r>
      <w:r w:rsidR="0026507C" w:rsidRPr="0026507C">
        <w:rPr>
          <w:rFonts w:cstheme="minorHAnsi"/>
          <w:b/>
          <w:sz w:val="72"/>
          <w:szCs w:val="72"/>
        </w:rPr>
        <w:t>Low Temperature</w:t>
      </w:r>
      <w:r w:rsidR="0026507C">
        <w:rPr>
          <w:rFonts w:cstheme="minorHAnsi"/>
          <w:b/>
          <w:sz w:val="72"/>
          <w:szCs w:val="72"/>
        </w:rPr>
        <w:t xml:space="preserve"> (ULT, -80C)</w:t>
      </w:r>
      <w:r w:rsidR="0026507C" w:rsidRPr="0026507C">
        <w:rPr>
          <w:rFonts w:cstheme="minorHAnsi"/>
          <w:b/>
          <w:sz w:val="72"/>
          <w:szCs w:val="72"/>
        </w:rPr>
        <w:t xml:space="preserve"> Freezer</w:t>
      </w:r>
      <w:r w:rsidR="0026507C">
        <w:rPr>
          <w:rFonts w:cstheme="minorHAnsi"/>
          <w:b/>
          <w:sz w:val="72"/>
          <w:szCs w:val="72"/>
        </w:rPr>
        <w:t>s</w:t>
      </w:r>
    </w:p>
    <w:p w14:paraId="263C4EDD" w14:textId="77777777" w:rsidR="00861B74" w:rsidRDefault="00861B74" w:rsidP="000F72EF">
      <w:pPr>
        <w:rPr>
          <w:rFonts w:cstheme="minorHAnsi"/>
          <w:b/>
          <w:sz w:val="72"/>
          <w:szCs w:val="72"/>
        </w:rPr>
      </w:pPr>
    </w:p>
    <w:p w14:paraId="72AA2E5A" w14:textId="77777777" w:rsidR="00861B74" w:rsidRDefault="00861B74" w:rsidP="000F72EF">
      <w:pPr>
        <w:rPr>
          <w:rFonts w:cstheme="minorHAnsi"/>
          <w:b/>
          <w:sz w:val="72"/>
          <w:szCs w:val="72"/>
        </w:rPr>
      </w:pPr>
    </w:p>
    <w:p w14:paraId="05C12A23" w14:textId="77777777" w:rsidR="00861B74" w:rsidRDefault="00861B74" w:rsidP="000F72EF">
      <w:pPr>
        <w:rPr>
          <w:rFonts w:cstheme="minorHAnsi"/>
          <w:b/>
          <w:sz w:val="72"/>
          <w:szCs w:val="72"/>
        </w:rPr>
      </w:pPr>
    </w:p>
    <w:p w14:paraId="0E8AABFF" w14:textId="77777777" w:rsidR="00861B74" w:rsidRDefault="00861B74" w:rsidP="000F72EF">
      <w:pPr>
        <w:rPr>
          <w:rFonts w:cstheme="minorHAnsi"/>
          <w:b/>
          <w:sz w:val="72"/>
          <w:szCs w:val="72"/>
        </w:rPr>
      </w:pPr>
    </w:p>
    <w:p w14:paraId="78F51626" w14:textId="77777777" w:rsidR="00861B74" w:rsidRDefault="00861B74" w:rsidP="000F72EF">
      <w:pPr>
        <w:rPr>
          <w:rFonts w:cstheme="minorHAnsi"/>
          <w:b/>
          <w:sz w:val="72"/>
          <w:szCs w:val="72"/>
        </w:rPr>
      </w:pPr>
    </w:p>
    <w:p w14:paraId="0FC7A3E1" w14:textId="77777777" w:rsidR="0026507C" w:rsidRDefault="0026507C" w:rsidP="00861B74">
      <w:pPr>
        <w:jc w:val="right"/>
        <w:rPr>
          <w:rFonts w:cstheme="minorHAnsi"/>
          <w:b/>
          <w:sz w:val="28"/>
          <w:szCs w:val="28"/>
        </w:rPr>
      </w:pPr>
    </w:p>
    <w:p w14:paraId="77681DF8" w14:textId="77777777" w:rsidR="0026507C" w:rsidRDefault="0026507C" w:rsidP="00861B74">
      <w:pPr>
        <w:jc w:val="right"/>
        <w:rPr>
          <w:rFonts w:cstheme="minorHAnsi"/>
          <w:b/>
          <w:sz w:val="28"/>
          <w:szCs w:val="28"/>
        </w:rPr>
      </w:pPr>
    </w:p>
    <w:p w14:paraId="1B282483" w14:textId="77777777" w:rsidR="0026507C" w:rsidRDefault="0026507C" w:rsidP="00861B74">
      <w:pPr>
        <w:jc w:val="right"/>
        <w:rPr>
          <w:rFonts w:cstheme="minorHAnsi"/>
          <w:b/>
          <w:sz w:val="28"/>
          <w:szCs w:val="28"/>
        </w:rPr>
      </w:pPr>
    </w:p>
    <w:p w14:paraId="6D5F98B4" w14:textId="52BC4176" w:rsidR="00861B74" w:rsidRPr="00861B74" w:rsidRDefault="0026507C" w:rsidP="00861B74">
      <w:pPr>
        <w:jc w:val="right"/>
        <w:rPr>
          <w:rFonts w:cstheme="minorHAnsi"/>
          <w:b/>
          <w:sz w:val="28"/>
          <w:szCs w:val="28"/>
        </w:rPr>
        <w:sectPr w:rsidR="00861B74" w:rsidRPr="00861B74" w:rsidSect="00307E3B">
          <w:footerReference w:type="default" r:id="rId8"/>
          <w:pgSz w:w="12240" w:h="15840"/>
          <w:pgMar w:top="1440" w:right="1080" w:bottom="1440" w:left="1080" w:header="720" w:footer="720" w:gutter="0"/>
          <w:cols w:space="720"/>
          <w:titlePg/>
          <w:docGrid w:linePitch="360"/>
        </w:sectPr>
      </w:pPr>
      <w:r>
        <w:rPr>
          <w:rFonts w:cstheme="minorHAnsi"/>
          <w:b/>
          <w:sz w:val="28"/>
          <w:szCs w:val="28"/>
        </w:rPr>
        <w:t>September 25, 2017</w:t>
      </w:r>
    </w:p>
    <w:p w14:paraId="5FB9CFF2" w14:textId="440DEAE5" w:rsidR="00542511" w:rsidRPr="008828CF" w:rsidRDefault="0067507C" w:rsidP="00542511">
      <w:pPr>
        <w:pStyle w:val="Heading1"/>
      </w:pPr>
      <w:bookmarkStart w:id="2" w:name="_Toc214003090"/>
      <w:r w:rsidRPr="0067507C">
        <w:lastRenderedPageBreak/>
        <w:t>High Efficiency U</w:t>
      </w:r>
      <w:r>
        <w:t xml:space="preserve">ltra-Low Temperature Freezer </w:t>
      </w:r>
      <w:r w:rsidR="00542511" w:rsidRPr="008828CF">
        <w:t>Short Form WP</w:t>
      </w:r>
    </w:p>
    <w:p w14:paraId="766B6F9F" w14:textId="77777777" w:rsidR="00542511" w:rsidRPr="00711962" w:rsidRDefault="00542511" w:rsidP="00542511">
      <w:pPr>
        <w:pStyle w:val="Heading2"/>
      </w:pPr>
      <w:r w:rsidRPr="00711962">
        <w:t>Introduction</w:t>
      </w:r>
    </w:p>
    <w:p w14:paraId="24E79B0C" w14:textId="7D29C7F8" w:rsidR="00711962" w:rsidRPr="004A6977" w:rsidRDefault="00542511" w:rsidP="00542511">
      <w:pPr>
        <w:rPr>
          <w:szCs w:val="22"/>
        </w:rPr>
      </w:pPr>
      <w:r w:rsidRPr="004A6977">
        <w:rPr>
          <w:szCs w:val="22"/>
        </w:rPr>
        <w:t xml:space="preserve">This short form workpaper </w:t>
      </w:r>
      <w:r w:rsidR="00711962" w:rsidRPr="004A6977">
        <w:rPr>
          <w:szCs w:val="22"/>
        </w:rPr>
        <w:t>(</w:t>
      </w:r>
      <w:r w:rsidR="00754912" w:rsidRPr="004A6977">
        <w:rPr>
          <w:szCs w:val="22"/>
        </w:rPr>
        <w:t>WP</w:t>
      </w:r>
      <w:r w:rsidR="00711962" w:rsidRPr="004A6977">
        <w:rPr>
          <w:szCs w:val="22"/>
        </w:rPr>
        <w:t xml:space="preserve">) </w:t>
      </w:r>
      <w:r w:rsidRPr="004A6977">
        <w:rPr>
          <w:szCs w:val="22"/>
        </w:rPr>
        <w:t xml:space="preserve">documents the values adopted from </w:t>
      </w:r>
      <w:r w:rsidR="000100D2">
        <w:rPr>
          <w:szCs w:val="22"/>
        </w:rPr>
        <w:t>PGE</w:t>
      </w:r>
      <w:r w:rsidR="00711962" w:rsidRPr="004A6977">
        <w:rPr>
          <w:szCs w:val="22"/>
        </w:rPr>
        <w:t>’s</w:t>
      </w:r>
      <w:r w:rsidRPr="004A6977">
        <w:rPr>
          <w:szCs w:val="22"/>
        </w:rPr>
        <w:t xml:space="preserve"> </w:t>
      </w:r>
      <w:r w:rsidR="00711962" w:rsidRPr="004A6977">
        <w:rPr>
          <w:szCs w:val="22"/>
        </w:rPr>
        <w:t>w</w:t>
      </w:r>
      <w:r w:rsidR="00AA54FB" w:rsidRPr="004A6977">
        <w:rPr>
          <w:szCs w:val="22"/>
        </w:rPr>
        <w:t>ork</w:t>
      </w:r>
      <w:r w:rsidR="00711962" w:rsidRPr="004A6977">
        <w:rPr>
          <w:szCs w:val="22"/>
        </w:rPr>
        <w:t>p</w:t>
      </w:r>
      <w:r w:rsidR="00AA54FB" w:rsidRPr="004A6977">
        <w:rPr>
          <w:szCs w:val="22"/>
        </w:rPr>
        <w:t>aper</w:t>
      </w:r>
      <w:r w:rsidRPr="004A6977">
        <w:rPr>
          <w:szCs w:val="22"/>
        </w:rPr>
        <w:t xml:space="preserve"> entitled “</w:t>
      </w:r>
      <w:r w:rsidR="000100D2" w:rsidRPr="000100D2">
        <w:rPr>
          <w:szCs w:val="22"/>
        </w:rPr>
        <w:t>High Efficiency Ultra-Low Temperature Freezers</w:t>
      </w:r>
      <w:r w:rsidR="00611C59" w:rsidRPr="004A6977">
        <w:rPr>
          <w:szCs w:val="22"/>
        </w:rPr>
        <w:t xml:space="preserve">” </w:t>
      </w:r>
      <w:r w:rsidRPr="004A6977">
        <w:rPr>
          <w:szCs w:val="22"/>
        </w:rPr>
        <w:t>(</w:t>
      </w:r>
      <w:r w:rsidR="000100D2" w:rsidRPr="000100D2">
        <w:rPr>
          <w:szCs w:val="22"/>
        </w:rPr>
        <w:t xml:space="preserve">PGECOREF130 </w:t>
      </w:r>
      <w:r w:rsidR="00711962" w:rsidRPr="004A6977">
        <w:rPr>
          <w:szCs w:val="22"/>
        </w:rPr>
        <w:t xml:space="preserve">Rev </w:t>
      </w:r>
      <w:r w:rsidR="000100D2">
        <w:rPr>
          <w:szCs w:val="22"/>
        </w:rPr>
        <w:t>0</w:t>
      </w:r>
      <w:r w:rsidR="002137EC" w:rsidRPr="004A6977">
        <w:rPr>
          <w:szCs w:val="22"/>
        </w:rPr>
        <w:t xml:space="preserve">). </w:t>
      </w:r>
      <w:r w:rsidRPr="004A6977">
        <w:rPr>
          <w:szCs w:val="22"/>
        </w:rPr>
        <w:t>SD</w:t>
      </w:r>
      <w:r w:rsidR="00711962" w:rsidRPr="004A6977">
        <w:rPr>
          <w:szCs w:val="22"/>
        </w:rPr>
        <w:t xml:space="preserve">G&amp;E adopts the values </w:t>
      </w:r>
      <w:r w:rsidR="00AA1D02" w:rsidRPr="004A6977">
        <w:rPr>
          <w:szCs w:val="22"/>
        </w:rPr>
        <w:t xml:space="preserve">associated with our climate zone as stated </w:t>
      </w:r>
      <w:r w:rsidR="00711962" w:rsidRPr="004A6977">
        <w:rPr>
          <w:szCs w:val="22"/>
        </w:rPr>
        <w:t xml:space="preserve">in </w:t>
      </w:r>
      <w:r w:rsidR="000100D2" w:rsidRPr="000100D2">
        <w:rPr>
          <w:szCs w:val="22"/>
        </w:rPr>
        <w:t xml:space="preserve">PGECOREF130 </w:t>
      </w:r>
      <w:r w:rsidR="000100D2" w:rsidRPr="004A6977">
        <w:rPr>
          <w:szCs w:val="22"/>
        </w:rPr>
        <w:t xml:space="preserve">Rev </w:t>
      </w:r>
      <w:r w:rsidR="000100D2">
        <w:rPr>
          <w:szCs w:val="22"/>
        </w:rPr>
        <w:t>0</w:t>
      </w:r>
      <w:r w:rsidR="0067507C">
        <w:rPr>
          <w:szCs w:val="22"/>
        </w:rPr>
        <w:t>. No exceptions taken.</w:t>
      </w:r>
    </w:p>
    <w:p w14:paraId="0906DC84" w14:textId="77777777" w:rsidR="00542511" w:rsidRDefault="00542511" w:rsidP="00542511">
      <w:pPr>
        <w:pStyle w:val="Heading2"/>
      </w:pPr>
      <w:r w:rsidRPr="005734A4">
        <w:t>Document Revision History</w:t>
      </w:r>
      <w:r w:rsidRPr="0025216C">
        <w:t xml:space="preserve"> </w:t>
      </w:r>
    </w:p>
    <w:tbl>
      <w:tblPr>
        <w:tblStyle w:val="TableGrid11"/>
        <w:tblW w:w="5015" w:type="pct"/>
        <w:tblLayout w:type="fixed"/>
        <w:tblLook w:val="01E0" w:firstRow="1" w:lastRow="1" w:firstColumn="1" w:lastColumn="1" w:noHBand="0" w:noVBand="0"/>
      </w:tblPr>
      <w:tblGrid>
        <w:gridCol w:w="497"/>
        <w:gridCol w:w="1052"/>
        <w:gridCol w:w="1617"/>
        <w:gridCol w:w="6212"/>
      </w:tblGrid>
      <w:tr w:rsidR="00542511" w:rsidRPr="00500C4E" w14:paraId="56302E5E" w14:textId="77777777" w:rsidTr="004A6977">
        <w:trPr>
          <w:trHeight w:val="20"/>
        </w:trPr>
        <w:tc>
          <w:tcPr>
            <w:tcW w:w="265" w:type="pct"/>
            <w:shd w:val="clear" w:color="auto" w:fill="D9D9D9" w:themeFill="background1" w:themeFillShade="D9"/>
          </w:tcPr>
          <w:p w14:paraId="67466AA6" w14:textId="77777777" w:rsidR="00542511" w:rsidRPr="000E2B6B" w:rsidRDefault="00542511" w:rsidP="005B2619">
            <w:pPr>
              <w:rPr>
                <w:rStyle w:val="Strong"/>
                <w:bCs w:val="0"/>
              </w:rPr>
            </w:pPr>
            <w:r w:rsidRPr="000E2B6B">
              <w:rPr>
                <w:rStyle w:val="Strong"/>
              </w:rPr>
              <w:t>Rev</w:t>
            </w:r>
          </w:p>
        </w:tc>
        <w:tc>
          <w:tcPr>
            <w:tcW w:w="561" w:type="pct"/>
            <w:shd w:val="clear" w:color="auto" w:fill="D9D9D9" w:themeFill="background1" w:themeFillShade="D9"/>
          </w:tcPr>
          <w:p w14:paraId="13765313" w14:textId="77777777" w:rsidR="00542511" w:rsidRPr="000E2B6B" w:rsidRDefault="00542511" w:rsidP="005B2619">
            <w:pPr>
              <w:rPr>
                <w:rStyle w:val="Strong"/>
                <w:bCs w:val="0"/>
              </w:rPr>
            </w:pPr>
            <w:r w:rsidRPr="000E2B6B">
              <w:rPr>
                <w:rStyle w:val="Strong"/>
              </w:rPr>
              <w:t>Date</w:t>
            </w:r>
          </w:p>
        </w:tc>
        <w:tc>
          <w:tcPr>
            <w:tcW w:w="862" w:type="pct"/>
            <w:shd w:val="clear" w:color="auto" w:fill="D9D9D9" w:themeFill="background1" w:themeFillShade="D9"/>
          </w:tcPr>
          <w:p w14:paraId="3D5DC18A" w14:textId="77777777" w:rsidR="00542511" w:rsidRPr="000E2B6B" w:rsidRDefault="00542511" w:rsidP="005B2619">
            <w:pPr>
              <w:rPr>
                <w:rStyle w:val="Strong"/>
                <w:bCs w:val="0"/>
              </w:rPr>
            </w:pPr>
            <w:r w:rsidRPr="000E2B6B">
              <w:rPr>
                <w:rStyle w:val="Strong"/>
              </w:rPr>
              <w:t>Author</w:t>
            </w:r>
          </w:p>
        </w:tc>
        <w:tc>
          <w:tcPr>
            <w:tcW w:w="3312" w:type="pct"/>
            <w:shd w:val="clear" w:color="auto" w:fill="D9D9D9" w:themeFill="background1" w:themeFillShade="D9"/>
          </w:tcPr>
          <w:p w14:paraId="50D6A978" w14:textId="77777777" w:rsidR="00542511" w:rsidRPr="000E2B6B" w:rsidRDefault="00542511" w:rsidP="005B2619">
            <w:pPr>
              <w:rPr>
                <w:rStyle w:val="Strong"/>
                <w:bCs w:val="0"/>
              </w:rPr>
            </w:pPr>
            <w:r w:rsidRPr="000E2B6B">
              <w:rPr>
                <w:rStyle w:val="Strong"/>
              </w:rPr>
              <w:t>Summary of Changes</w:t>
            </w:r>
          </w:p>
        </w:tc>
      </w:tr>
      <w:tr w:rsidR="00542511" w:rsidRPr="00500C4E" w14:paraId="710D7DFA" w14:textId="77777777" w:rsidTr="004A6977">
        <w:trPr>
          <w:trHeight w:val="20"/>
        </w:trPr>
        <w:tc>
          <w:tcPr>
            <w:tcW w:w="265" w:type="pct"/>
            <w:vAlign w:val="center"/>
          </w:tcPr>
          <w:p w14:paraId="116FBAD2" w14:textId="309B7999" w:rsidR="00542511" w:rsidRPr="000E2B6B" w:rsidRDefault="00B45933" w:rsidP="005B2619">
            <w:pPr>
              <w:jc w:val="center"/>
              <w:rPr>
                <w:rFonts w:cstheme="minorHAnsi"/>
                <w:szCs w:val="20"/>
              </w:rPr>
            </w:pPr>
            <w:r>
              <w:rPr>
                <w:rFonts w:cstheme="minorHAnsi"/>
                <w:szCs w:val="20"/>
              </w:rPr>
              <w:t>0</w:t>
            </w:r>
          </w:p>
        </w:tc>
        <w:tc>
          <w:tcPr>
            <w:tcW w:w="561" w:type="pct"/>
            <w:vAlign w:val="center"/>
          </w:tcPr>
          <w:p w14:paraId="065EC8A2" w14:textId="5BA631BB" w:rsidR="00542511" w:rsidRPr="000E2B6B" w:rsidRDefault="002C120D" w:rsidP="005B2619">
            <w:pPr>
              <w:jc w:val="center"/>
              <w:rPr>
                <w:rFonts w:cstheme="minorHAnsi"/>
                <w:szCs w:val="20"/>
              </w:rPr>
            </w:pPr>
            <w:r>
              <w:rPr>
                <w:rFonts w:cstheme="minorHAnsi"/>
                <w:szCs w:val="20"/>
              </w:rPr>
              <w:t>1</w:t>
            </w:r>
            <w:r w:rsidR="0026507C">
              <w:rPr>
                <w:rFonts w:cstheme="minorHAnsi"/>
                <w:szCs w:val="20"/>
              </w:rPr>
              <w:t>0/</w:t>
            </w:r>
            <w:r>
              <w:rPr>
                <w:rFonts w:cstheme="minorHAnsi"/>
                <w:szCs w:val="20"/>
              </w:rPr>
              <w:t>0</w:t>
            </w:r>
            <w:r w:rsidR="0026507C">
              <w:rPr>
                <w:rFonts w:cstheme="minorHAnsi"/>
                <w:szCs w:val="20"/>
              </w:rPr>
              <w:t>5/17</w:t>
            </w:r>
          </w:p>
        </w:tc>
        <w:tc>
          <w:tcPr>
            <w:tcW w:w="862" w:type="pct"/>
            <w:vAlign w:val="center"/>
          </w:tcPr>
          <w:p w14:paraId="233B8350" w14:textId="77777777" w:rsidR="00351B84" w:rsidRDefault="00351B84" w:rsidP="00060A50">
            <w:pPr>
              <w:rPr>
                <w:rFonts w:cstheme="minorHAnsi"/>
                <w:szCs w:val="20"/>
              </w:rPr>
            </w:pPr>
            <w:r>
              <w:rPr>
                <w:rFonts w:cstheme="minorHAnsi"/>
                <w:szCs w:val="20"/>
              </w:rPr>
              <w:t>Joshua Williams,</w:t>
            </w:r>
          </w:p>
          <w:p w14:paraId="510974ED" w14:textId="6F96FFCB" w:rsidR="00351B84" w:rsidRDefault="00351B84" w:rsidP="00060A50">
            <w:pPr>
              <w:rPr>
                <w:rFonts w:cstheme="minorHAnsi"/>
                <w:szCs w:val="20"/>
              </w:rPr>
            </w:pPr>
            <w:r>
              <w:rPr>
                <w:rFonts w:cstheme="minorHAnsi"/>
                <w:szCs w:val="20"/>
              </w:rPr>
              <w:t>Ed Reynoso</w:t>
            </w:r>
            <w:r w:rsidR="00055713">
              <w:rPr>
                <w:rFonts w:cstheme="minorHAnsi"/>
                <w:szCs w:val="20"/>
              </w:rPr>
              <w:t xml:space="preserve"> /  </w:t>
            </w:r>
          </w:p>
          <w:p w14:paraId="7D43A71F" w14:textId="5787FCCE" w:rsidR="00055713" w:rsidRPr="000E2B6B" w:rsidRDefault="00055713" w:rsidP="00060A50">
            <w:pPr>
              <w:rPr>
                <w:rFonts w:cstheme="minorHAnsi"/>
                <w:szCs w:val="20"/>
              </w:rPr>
            </w:pPr>
            <w:r>
              <w:rPr>
                <w:rFonts w:cstheme="minorHAnsi"/>
                <w:szCs w:val="20"/>
              </w:rPr>
              <w:t>SDG&amp;E</w:t>
            </w:r>
          </w:p>
        </w:tc>
        <w:tc>
          <w:tcPr>
            <w:tcW w:w="3312" w:type="pct"/>
          </w:tcPr>
          <w:p w14:paraId="276F39EA" w14:textId="3549C902" w:rsidR="00542511" w:rsidRPr="006B6F47" w:rsidRDefault="00B45933" w:rsidP="006B6F47">
            <w:pPr>
              <w:rPr>
                <w:rFonts w:cs="Arial"/>
                <w:color w:val="000000"/>
                <w:szCs w:val="20"/>
              </w:rPr>
            </w:pPr>
            <w:r w:rsidRPr="00354B9B">
              <w:rPr>
                <w:rFonts w:cs="Arial"/>
                <w:color w:val="000000"/>
                <w:szCs w:val="20"/>
              </w:rPr>
              <w:t xml:space="preserve">Adapted from </w:t>
            </w:r>
            <w:r w:rsidR="0026507C">
              <w:rPr>
                <w:rFonts w:cs="Arial"/>
                <w:color w:val="000000"/>
                <w:szCs w:val="20"/>
              </w:rPr>
              <w:t>PGE</w:t>
            </w:r>
            <w:r w:rsidRPr="00354B9B">
              <w:rPr>
                <w:rFonts w:cs="Arial"/>
                <w:color w:val="000000"/>
                <w:szCs w:val="20"/>
              </w:rPr>
              <w:t xml:space="preserve"> </w:t>
            </w:r>
            <w:r w:rsidR="0026507C" w:rsidRPr="0026507C">
              <w:rPr>
                <w:rFonts w:cs="Arial"/>
                <w:color w:val="000000"/>
                <w:szCs w:val="20"/>
              </w:rPr>
              <w:t>Work Paper PGECOREF130</w:t>
            </w:r>
            <w:r w:rsidR="0026507C">
              <w:rPr>
                <w:rFonts w:cs="Arial"/>
                <w:color w:val="000000"/>
                <w:szCs w:val="20"/>
              </w:rPr>
              <w:t xml:space="preserve"> </w:t>
            </w:r>
            <w:r w:rsidRPr="00354B9B">
              <w:rPr>
                <w:rFonts w:cs="Arial"/>
                <w:color w:val="000000"/>
                <w:szCs w:val="20"/>
              </w:rPr>
              <w:t xml:space="preserve">Revision #0 dated </w:t>
            </w:r>
            <w:r w:rsidR="0026507C" w:rsidRPr="0026507C">
              <w:rPr>
                <w:rFonts w:cs="Arial"/>
                <w:color w:val="000000"/>
                <w:szCs w:val="20"/>
              </w:rPr>
              <w:t>August 7, 2017</w:t>
            </w:r>
            <w:r w:rsidRPr="00354B9B">
              <w:rPr>
                <w:rFonts w:cs="Arial"/>
                <w:color w:val="000000"/>
                <w:szCs w:val="20"/>
              </w:rPr>
              <w:t xml:space="preserve">, developed by </w:t>
            </w:r>
            <w:r w:rsidR="006B6F47">
              <w:rPr>
                <w:szCs w:val="20"/>
              </w:rPr>
              <w:t>Yin Yin Wu, PE (BASE Energy, Inc), Danielle Dragon PE (PG&amp;E), and Zyg Kunczynski (PG&amp;E)</w:t>
            </w:r>
            <w:r w:rsidR="00BF46E3">
              <w:rPr>
                <w:szCs w:val="20"/>
              </w:rPr>
              <w:t>. SDGE will only be adopting</w:t>
            </w:r>
            <w:r w:rsidR="0011580A">
              <w:rPr>
                <w:szCs w:val="20"/>
              </w:rPr>
              <w:t xml:space="preserve"> (and providing Ex-ante data) </w:t>
            </w:r>
            <w:r w:rsidR="00BF46E3">
              <w:rPr>
                <w:szCs w:val="20"/>
              </w:rPr>
              <w:t>measure impacts for SDG&amp;E service territory which are CZ06, CZ07, CZ08, CZ10, CZ14 and CZ15</w:t>
            </w:r>
            <w:r w:rsidR="001F3885">
              <w:rPr>
                <w:szCs w:val="20"/>
              </w:rPr>
              <w:t>.</w:t>
            </w:r>
          </w:p>
        </w:tc>
      </w:tr>
    </w:tbl>
    <w:p w14:paraId="234E9571" w14:textId="77777777" w:rsidR="006576DE" w:rsidRDefault="006576DE" w:rsidP="00CB11C9">
      <w:pPr>
        <w:pStyle w:val="Caption"/>
        <w:keepNext/>
        <w:jc w:val="center"/>
      </w:pPr>
    </w:p>
    <w:p w14:paraId="5C961968" w14:textId="0F9F39FD" w:rsidR="006527B1" w:rsidRDefault="006527B1">
      <w:pPr>
        <w:spacing w:after="200" w:line="276" w:lineRule="auto"/>
        <w:rPr>
          <w:b/>
          <w:bCs/>
          <w:szCs w:val="3276"/>
        </w:rPr>
      </w:pPr>
      <w:r>
        <w:br w:type="page"/>
      </w:r>
      <w:r w:rsidR="002C120D">
        <w:lastRenderedPageBreak/>
        <w:t>6967</w:t>
      </w:r>
    </w:p>
    <w:p w14:paraId="01957425" w14:textId="77777777" w:rsidR="00CB11C9" w:rsidRPr="006527B1" w:rsidRDefault="00CB11C9" w:rsidP="00CB11C9">
      <w:pPr>
        <w:pStyle w:val="Caption"/>
        <w:keepNext/>
        <w:jc w:val="center"/>
        <w:rPr>
          <w:sz w:val="20"/>
          <w:szCs w:val="20"/>
        </w:rPr>
      </w:pPr>
      <w:r w:rsidRPr="006527B1">
        <w:rPr>
          <w:sz w:val="20"/>
          <w:szCs w:val="20"/>
        </w:rPr>
        <w:t xml:space="preserve">Table </w:t>
      </w:r>
      <w:r w:rsidR="005167C8" w:rsidRPr="006527B1">
        <w:rPr>
          <w:sz w:val="20"/>
          <w:szCs w:val="20"/>
        </w:rPr>
        <w:fldChar w:fldCharType="begin"/>
      </w:r>
      <w:r w:rsidR="005167C8" w:rsidRPr="006527B1">
        <w:rPr>
          <w:sz w:val="20"/>
          <w:szCs w:val="20"/>
        </w:rPr>
        <w:instrText xml:space="preserve"> SEQ Table \* ARABIC </w:instrText>
      </w:r>
      <w:r w:rsidR="005167C8" w:rsidRPr="006527B1">
        <w:rPr>
          <w:sz w:val="20"/>
          <w:szCs w:val="20"/>
        </w:rPr>
        <w:fldChar w:fldCharType="separate"/>
      </w:r>
      <w:r w:rsidRPr="006527B1">
        <w:rPr>
          <w:noProof/>
          <w:sz w:val="20"/>
          <w:szCs w:val="20"/>
        </w:rPr>
        <w:t>1</w:t>
      </w:r>
      <w:r w:rsidR="005167C8" w:rsidRPr="006527B1">
        <w:rPr>
          <w:noProof/>
          <w:sz w:val="20"/>
          <w:szCs w:val="20"/>
        </w:rPr>
        <w:fldChar w:fldCharType="end"/>
      </w:r>
      <w:r w:rsidRPr="006527B1">
        <w:rPr>
          <w:sz w:val="20"/>
          <w:szCs w:val="20"/>
        </w:rPr>
        <w:t>: Measure Summary Table</w:t>
      </w:r>
    </w:p>
    <w:p w14:paraId="5D95525B" w14:textId="77777777" w:rsidR="00CB11C9" w:rsidRPr="006527B1" w:rsidRDefault="00CB11C9" w:rsidP="00CB11C9">
      <w:pPr>
        <w:rPr>
          <w:sz w:val="20"/>
          <w:szCs w:val="20"/>
        </w:rPr>
      </w:pPr>
    </w:p>
    <w:tbl>
      <w:tblPr>
        <w:tblStyle w:val="TableGrid"/>
        <w:tblW w:w="9587" w:type="dxa"/>
        <w:tblLook w:val="04A0" w:firstRow="1" w:lastRow="0" w:firstColumn="1" w:lastColumn="0" w:noHBand="0" w:noVBand="1"/>
      </w:tblPr>
      <w:tblGrid>
        <w:gridCol w:w="2831"/>
        <w:gridCol w:w="6756"/>
      </w:tblGrid>
      <w:tr w:rsidR="00CB11C9" w:rsidRPr="006527B1" w14:paraId="13E75198" w14:textId="77777777" w:rsidTr="00055713">
        <w:trPr>
          <w:trHeight w:val="179"/>
        </w:trPr>
        <w:tc>
          <w:tcPr>
            <w:tcW w:w="2831" w:type="dxa"/>
          </w:tcPr>
          <w:p w14:paraId="44855FA0" w14:textId="77777777" w:rsidR="00CB11C9" w:rsidRPr="006527B1" w:rsidRDefault="00CB11C9" w:rsidP="00D81D2F">
            <w:pPr>
              <w:rPr>
                <w:b/>
                <w:sz w:val="20"/>
                <w:szCs w:val="20"/>
              </w:rPr>
            </w:pPr>
            <w:r w:rsidRPr="006527B1">
              <w:rPr>
                <w:b/>
                <w:sz w:val="20"/>
                <w:szCs w:val="20"/>
              </w:rPr>
              <w:t>Section</w:t>
            </w:r>
          </w:p>
        </w:tc>
        <w:tc>
          <w:tcPr>
            <w:tcW w:w="6756" w:type="dxa"/>
          </w:tcPr>
          <w:p w14:paraId="4BB25803" w14:textId="77777777" w:rsidR="00CB11C9" w:rsidRPr="006527B1" w:rsidRDefault="00CB11C9" w:rsidP="005B2619">
            <w:pPr>
              <w:jc w:val="center"/>
              <w:rPr>
                <w:b/>
                <w:sz w:val="20"/>
                <w:szCs w:val="20"/>
              </w:rPr>
            </w:pPr>
            <w:r w:rsidRPr="006527B1">
              <w:rPr>
                <w:b/>
                <w:sz w:val="20"/>
                <w:szCs w:val="20"/>
              </w:rPr>
              <w:t>Value</w:t>
            </w:r>
          </w:p>
        </w:tc>
      </w:tr>
      <w:tr w:rsidR="00CB11C9" w:rsidRPr="006527B1" w14:paraId="0D167685" w14:textId="77777777" w:rsidTr="00055713">
        <w:trPr>
          <w:trHeight w:val="776"/>
        </w:trPr>
        <w:tc>
          <w:tcPr>
            <w:tcW w:w="2831" w:type="dxa"/>
            <w:vAlign w:val="center"/>
          </w:tcPr>
          <w:p w14:paraId="2C31FA47" w14:textId="67CA5F43" w:rsidR="00CB11C9" w:rsidRPr="004A6977" w:rsidRDefault="00CB11C9" w:rsidP="00D81D2F">
            <w:pPr>
              <w:rPr>
                <w:b/>
                <w:szCs w:val="22"/>
              </w:rPr>
            </w:pPr>
            <w:r w:rsidRPr="004A6977">
              <w:rPr>
                <w:b/>
                <w:szCs w:val="22"/>
              </w:rPr>
              <w:t>1.1 Measure &amp; Baseline Data</w:t>
            </w:r>
            <w:r w:rsidR="005D3755">
              <w:rPr>
                <w:b/>
                <w:sz w:val="20"/>
                <w:szCs w:val="20"/>
              </w:rPr>
              <w:t xml:space="preserve"> (Cited per PGE Workpaper as stated in Document Revision History)</w:t>
            </w:r>
          </w:p>
        </w:tc>
        <w:tc>
          <w:tcPr>
            <w:tcW w:w="6756" w:type="dxa"/>
          </w:tcPr>
          <w:p w14:paraId="233B7F84" w14:textId="2F877078" w:rsidR="005D3755" w:rsidRDefault="005D3755" w:rsidP="003901F6">
            <w:pPr>
              <w:rPr>
                <w:sz w:val="20"/>
                <w:szCs w:val="20"/>
              </w:rPr>
            </w:pPr>
            <w:r>
              <w:rPr>
                <w:noProof/>
              </w:rPr>
              <w:drawing>
                <wp:inline distT="0" distB="0" distL="0" distR="0" wp14:anchorId="79F288CD" wp14:editId="1BDF117C">
                  <wp:extent cx="4152900" cy="1343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53218" cy="1343128"/>
                          </a:xfrm>
                          <a:prstGeom prst="rect">
                            <a:avLst/>
                          </a:prstGeom>
                        </pic:spPr>
                      </pic:pic>
                    </a:graphicData>
                  </a:graphic>
                </wp:inline>
              </w:drawing>
            </w:r>
          </w:p>
          <w:p w14:paraId="145B4944" w14:textId="69D4C94D" w:rsidR="005D3755" w:rsidRPr="006527B1" w:rsidRDefault="005D3755" w:rsidP="003901F6">
            <w:pPr>
              <w:rPr>
                <w:rFonts w:cs="Arial"/>
                <w:sz w:val="20"/>
                <w:szCs w:val="20"/>
              </w:rPr>
            </w:pPr>
          </w:p>
        </w:tc>
      </w:tr>
      <w:tr w:rsidR="00CB11C9" w:rsidRPr="006527B1" w14:paraId="7C876EEE" w14:textId="77777777" w:rsidTr="00055713">
        <w:trPr>
          <w:trHeight w:val="1816"/>
        </w:trPr>
        <w:tc>
          <w:tcPr>
            <w:tcW w:w="2831" w:type="dxa"/>
            <w:vAlign w:val="center"/>
          </w:tcPr>
          <w:p w14:paraId="31CD845D" w14:textId="4C56CEA4" w:rsidR="00CB11C9" w:rsidRPr="004A6977" w:rsidRDefault="00055713" w:rsidP="00D81D2F">
            <w:pPr>
              <w:rPr>
                <w:b/>
                <w:szCs w:val="22"/>
              </w:rPr>
            </w:pPr>
            <w:r>
              <w:rPr>
                <w:b/>
                <w:szCs w:val="22"/>
              </w:rPr>
              <w:t>1</w:t>
            </w:r>
            <w:r w:rsidR="00CB11C9" w:rsidRPr="004A6977">
              <w:rPr>
                <w:b/>
                <w:szCs w:val="22"/>
              </w:rPr>
              <w:t xml:space="preserve">.2 Technical Description </w:t>
            </w:r>
          </w:p>
        </w:tc>
        <w:tc>
          <w:tcPr>
            <w:tcW w:w="6756" w:type="dxa"/>
          </w:tcPr>
          <w:p w14:paraId="3DC2FD97" w14:textId="518F7EF3" w:rsidR="00CB11C9" w:rsidRPr="006527B1" w:rsidRDefault="00702C63" w:rsidP="0021346C">
            <w:pPr>
              <w:rPr>
                <w:rFonts w:cs="Arial"/>
                <w:sz w:val="20"/>
                <w:szCs w:val="20"/>
              </w:rPr>
            </w:pPr>
            <w:r w:rsidRPr="00702C63">
              <w:rPr>
                <w:rFonts w:cstheme="minorHAnsi"/>
                <w:sz w:val="20"/>
                <w:szCs w:val="20"/>
              </w:rPr>
              <w:t>As documented in the ET Study, ULT freezers with temperature set points generally ranging from -56oC to -86oC entered the marketplace in the 1970s. In the past two decades, temperature set points of ULT freezers have generally fallen close to -80oC with an average temperature of -77.5oC (Section 1.8.3). These freezers are commonly called “minus eighties” and are used in a wide range of life science research laboratories to maintain the integrity of samples and reagents for long periods of time. As recommended in the ET study, to be conservative the temperature set point for energy savings calculations is -75oC.</w:t>
            </w:r>
          </w:p>
        </w:tc>
      </w:tr>
      <w:tr w:rsidR="00CB11C9" w:rsidRPr="006527B1" w14:paraId="7D223C90" w14:textId="77777777" w:rsidTr="00055713">
        <w:trPr>
          <w:trHeight w:val="776"/>
        </w:trPr>
        <w:tc>
          <w:tcPr>
            <w:tcW w:w="2831" w:type="dxa"/>
            <w:vAlign w:val="center"/>
          </w:tcPr>
          <w:p w14:paraId="167CF132" w14:textId="7DEC43D7" w:rsidR="00136EEC" w:rsidRPr="006527B1" w:rsidRDefault="00136EEC" w:rsidP="00D81D2F">
            <w:pPr>
              <w:rPr>
                <w:rFonts w:cs="Arial"/>
                <w:sz w:val="20"/>
                <w:szCs w:val="20"/>
              </w:rPr>
            </w:pPr>
            <w:r w:rsidRPr="006527B1">
              <w:rPr>
                <w:rFonts w:cs="Arial"/>
                <w:sz w:val="20"/>
                <w:szCs w:val="20"/>
              </w:rPr>
              <w:t xml:space="preserve">Measure 1 </w:t>
            </w:r>
          </w:p>
          <w:p w14:paraId="14922653" w14:textId="724AFD0D" w:rsidR="00136EEC" w:rsidRPr="006527B1" w:rsidRDefault="00136EEC" w:rsidP="00D81D2F">
            <w:pPr>
              <w:rPr>
                <w:rFonts w:cs="Arial"/>
                <w:sz w:val="20"/>
                <w:szCs w:val="20"/>
              </w:rPr>
            </w:pPr>
            <w:r w:rsidRPr="006527B1">
              <w:rPr>
                <w:rFonts w:cs="Arial"/>
                <w:sz w:val="20"/>
                <w:szCs w:val="20"/>
              </w:rPr>
              <w:t>Measure 2</w:t>
            </w:r>
          </w:p>
          <w:p w14:paraId="72B7A1EF" w14:textId="309E323D" w:rsidR="00CB11C9" w:rsidRPr="006527B1" w:rsidRDefault="00CB11C9" w:rsidP="00D81D2F">
            <w:pPr>
              <w:rPr>
                <w:rFonts w:cs="Arial"/>
                <w:sz w:val="20"/>
                <w:szCs w:val="20"/>
              </w:rPr>
            </w:pPr>
          </w:p>
        </w:tc>
        <w:tc>
          <w:tcPr>
            <w:tcW w:w="6756" w:type="dxa"/>
          </w:tcPr>
          <w:p w14:paraId="540F6820" w14:textId="46DB7EB4" w:rsidR="00124766" w:rsidRDefault="00124766" w:rsidP="00136EEC">
            <w:pPr>
              <w:rPr>
                <w:rFonts w:cstheme="minorHAnsi"/>
                <w:sz w:val="20"/>
                <w:szCs w:val="20"/>
              </w:rPr>
            </w:pPr>
          </w:p>
          <w:p w14:paraId="0E993748" w14:textId="77777777" w:rsidR="00124766" w:rsidRDefault="00124766" w:rsidP="00136EEC">
            <w:pPr>
              <w:rPr>
                <w:rFonts w:cstheme="minorHAnsi"/>
                <w:sz w:val="20"/>
                <w:szCs w:val="20"/>
              </w:rPr>
            </w:pPr>
          </w:p>
          <w:tbl>
            <w:tblPr>
              <w:tblStyle w:val="TableGrid"/>
              <w:tblW w:w="0" w:type="auto"/>
              <w:tblLook w:val="04A0" w:firstRow="1" w:lastRow="0" w:firstColumn="1" w:lastColumn="0" w:noHBand="0" w:noVBand="1"/>
            </w:tblPr>
            <w:tblGrid>
              <w:gridCol w:w="1025"/>
              <w:gridCol w:w="721"/>
              <w:gridCol w:w="4441"/>
            </w:tblGrid>
            <w:tr w:rsidR="00124766" w14:paraId="21CFC1E0" w14:textId="77777777" w:rsidTr="00124766">
              <w:tc>
                <w:tcPr>
                  <w:tcW w:w="1746" w:type="dxa"/>
                  <w:gridSpan w:val="2"/>
                </w:tcPr>
                <w:p w14:paraId="01199312" w14:textId="08E5A5D7" w:rsidR="00124766" w:rsidRDefault="00124766" w:rsidP="00136EEC">
                  <w:pPr>
                    <w:rPr>
                      <w:rFonts w:cstheme="minorHAnsi"/>
                      <w:sz w:val="20"/>
                      <w:szCs w:val="20"/>
                    </w:rPr>
                  </w:pPr>
                  <w:r>
                    <w:rPr>
                      <w:rFonts w:cstheme="minorHAnsi"/>
                      <w:sz w:val="20"/>
                      <w:szCs w:val="20"/>
                    </w:rPr>
                    <w:t>Measure Code</w:t>
                  </w:r>
                </w:p>
              </w:tc>
              <w:tc>
                <w:tcPr>
                  <w:tcW w:w="4441" w:type="dxa"/>
                  <w:vMerge w:val="restart"/>
                </w:tcPr>
                <w:p w14:paraId="4D2BBBC8" w14:textId="4C439E93" w:rsidR="00124766" w:rsidRDefault="00124766" w:rsidP="00136EEC">
                  <w:pPr>
                    <w:rPr>
                      <w:rFonts w:cstheme="minorHAnsi"/>
                      <w:sz w:val="20"/>
                      <w:szCs w:val="20"/>
                    </w:rPr>
                  </w:pPr>
                  <w:r>
                    <w:rPr>
                      <w:rFonts w:cstheme="minorHAnsi"/>
                      <w:sz w:val="20"/>
                      <w:szCs w:val="20"/>
                    </w:rPr>
                    <w:t>Measure Names</w:t>
                  </w:r>
                </w:p>
              </w:tc>
            </w:tr>
            <w:tr w:rsidR="00124766" w14:paraId="42EB8440" w14:textId="77777777" w:rsidTr="00124766">
              <w:tc>
                <w:tcPr>
                  <w:tcW w:w="1025" w:type="dxa"/>
                </w:tcPr>
                <w:p w14:paraId="3A4D61A0" w14:textId="7FE6D0D9" w:rsidR="00124766" w:rsidRDefault="00124766" w:rsidP="00136EEC">
                  <w:pPr>
                    <w:rPr>
                      <w:rFonts w:cstheme="minorHAnsi"/>
                      <w:sz w:val="20"/>
                      <w:szCs w:val="20"/>
                    </w:rPr>
                  </w:pPr>
                  <w:r>
                    <w:rPr>
                      <w:rFonts w:cstheme="minorHAnsi"/>
                      <w:sz w:val="20"/>
                      <w:szCs w:val="20"/>
                    </w:rPr>
                    <w:t>SDGE</w:t>
                  </w:r>
                </w:p>
              </w:tc>
              <w:tc>
                <w:tcPr>
                  <w:tcW w:w="721" w:type="dxa"/>
                </w:tcPr>
                <w:p w14:paraId="45A71A41" w14:textId="63839E90" w:rsidR="00124766" w:rsidRDefault="00124766" w:rsidP="00136EEC">
                  <w:pPr>
                    <w:rPr>
                      <w:rFonts w:cstheme="minorHAnsi"/>
                      <w:sz w:val="20"/>
                      <w:szCs w:val="20"/>
                    </w:rPr>
                  </w:pPr>
                  <w:r>
                    <w:rPr>
                      <w:rFonts w:cstheme="minorHAnsi"/>
                      <w:sz w:val="20"/>
                      <w:szCs w:val="20"/>
                    </w:rPr>
                    <w:t>PGE</w:t>
                  </w:r>
                </w:p>
              </w:tc>
              <w:tc>
                <w:tcPr>
                  <w:tcW w:w="4441" w:type="dxa"/>
                  <w:vMerge/>
                </w:tcPr>
                <w:p w14:paraId="36A7155E" w14:textId="77777777" w:rsidR="00124766" w:rsidRDefault="00124766" w:rsidP="00136EEC">
                  <w:pPr>
                    <w:rPr>
                      <w:rFonts w:cstheme="minorHAnsi"/>
                      <w:sz w:val="20"/>
                      <w:szCs w:val="20"/>
                    </w:rPr>
                  </w:pPr>
                </w:p>
              </w:tc>
            </w:tr>
            <w:tr w:rsidR="00124766" w14:paraId="794C7384" w14:textId="77777777" w:rsidTr="00811294">
              <w:tc>
                <w:tcPr>
                  <w:tcW w:w="1025" w:type="dxa"/>
                </w:tcPr>
                <w:p w14:paraId="641F63D1" w14:textId="77777777" w:rsidR="00124766" w:rsidRDefault="00124766" w:rsidP="00136EEC">
                  <w:pPr>
                    <w:rPr>
                      <w:rFonts w:cstheme="minorHAnsi"/>
                      <w:sz w:val="20"/>
                      <w:szCs w:val="20"/>
                    </w:rPr>
                  </w:pPr>
                  <w:r w:rsidRPr="00124766">
                    <w:rPr>
                      <w:rFonts w:cstheme="minorHAnsi"/>
                      <w:sz w:val="20"/>
                      <w:szCs w:val="20"/>
                    </w:rPr>
                    <w:t>464028</w:t>
                  </w:r>
                </w:p>
                <w:p w14:paraId="603D6191" w14:textId="361CD7E5" w:rsidR="00124766" w:rsidRDefault="00124766" w:rsidP="00136EEC">
                  <w:pPr>
                    <w:rPr>
                      <w:rFonts w:cstheme="minorHAnsi"/>
                      <w:sz w:val="20"/>
                      <w:szCs w:val="20"/>
                    </w:rPr>
                  </w:pPr>
                  <w:r w:rsidRPr="00124766">
                    <w:rPr>
                      <w:rFonts w:cstheme="minorHAnsi"/>
                      <w:sz w:val="20"/>
                      <w:szCs w:val="20"/>
                    </w:rPr>
                    <w:t>464029</w:t>
                  </w:r>
                </w:p>
              </w:tc>
              <w:tc>
                <w:tcPr>
                  <w:tcW w:w="721" w:type="dxa"/>
                </w:tcPr>
                <w:p w14:paraId="2DD4DB1B" w14:textId="7BC40AC8" w:rsidR="00124766" w:rsidRDefault="00124766" w:rsidP="00136EEC">
                  <w:pPr>
                    <w:rPr>
                      <w:rFonts w:cstheme="minorHAnsi"/>
                      <w:sz w:val="20"/>
                      <w:szCs w:val="20"/>
                    </w:rPr>
                  </w:pPr>
                  <w:r>
                    <w:rPr>
                      <w:rFonts w:cstheme="minorHAnsi"/>
                      <w:sz w:val="20"/>
                      <w:szCs w:val="20"/>
                    </w:rPr>
                    <w:t>RF006</w:t>
                  </w:r>
                </w:p>
              </w:tc>
              <w:tc>
                <w:tcPr>
                  <w:tcW w:w="4441" w:type="dxa"/>
                </w:tcPr>
                <w:p w14:paraId="59E67612" w14:textId="09F61E5C" w:rsidR="00124766" w:rsidRDefault="00124766" w:rsidP="00136EEC">
                  <w:pPr>
                    <w:rPr>
                      <w:rFonts w:cstheme="minorHAnsi"/>
                      <w:sz w:val="20"/>
                      <w:szCs w:val="20"/>
                    </w:rPr>
                  </w:pPr>
                  <w:r w:rsidRPr="00974AF2">
                    <w:rPr>
                      <w:rFonts w:cstheme="minorHAnsi"/>
                      <w:sz w:val="20"/>
                      <w:szCs w:val="20"/>
                    </w:rPr>
                    <w:t>ULTRA-LOW TEMPERATURE FREEZER, 15 TO 23 CUBIC FEET</w:t>
                  </w:r>
                </w:p>
              </w:tc>
            </w:tr>
            <w:tr w:rsidR="00124766" w14:paraId="23CAD1E9" w14:textId="77777777" w:rsidTr="00811294">
              <w:tc>
                <w:tcPr>
                  <w:tcW w:w="1025" w:type="dxa"/>
                </w:tcPr>
                <w:p w14:paraId="5350D942" w14:textId="77777777" w:rsidR="00124766" w:rsidRDefault="00124766" w:rsidP="00136EEC">
                  <w:pPr>
                    <w:rPr>
                      <w:rFonts w:cstheme="minorHAnsi"/>
                      <w:sz w:val="20"/>
                      <w:szCs w:val="20"/>
                    </w:rPr>
                  </w:pPr>
                  <w:r w:rsidRPr="00124766">
                    <w:rPr>
                      <w:rFonts w:cstheme="minorHAnsi"/>
                      <w:sz w:val="20"/>
                      <w:szCs w:val="20"/>
                    </w:rPr>
                    <w:t>464030</w:t>
                  </w:r>
                </w:p>
                <w:p w14:paraId="04F88D23" w14:textId="71E32343" w:rsidR="00124766" w:rsidRDefault="00124766" w:rsidP="00136EEC">
                  <w:pPr>
                    <w:rPr>
                      <w:rFonts w:cstheme="minorHAnsi"/>
                      <w:sz w:val="20"/>
                      <w:szCs w:val="20"/>
                    </w:rPr>
                  </w:pPr>
                  <w:r>
                    <w:rPr>
                      <w:rFonts w:cstheme="minorHAnsi"/>
                      <w:sz w:val="20"/>
                      <w:szCs w:val="20"/>
                    </w:rPr>
                    <w:t>464031</w:t>
                  </w:r>
                </w:p>
              </w:tc>
              <w:tc>
                <w:tcPr>
                  <w:tcW w:w="721" w:type="dxa"/>
                </w:tcPr>
                <w:p w14:paraId="4E4B26B2" w14:textId="7FCA5EDD" w:rsidR="00124766" w:rsidRDefault="00124766" w:rsidP="00136EEC">
                  <w:pPr>
                    <w:rPr>
                      <w:rFonts w:cstheme="minorHAnsi"/>
                      <w:sz w:val="20"/>
                      <w:szCs w:val="20"/>
                    </w:rPr>
                  </w:pPr>
                  <w:r>
                    <w:rPr>
                      <w:rFonts w:cstheme="minorHAnsi"/>
                      <w:sz w:val="20"/>
                      <w:szCs w:val="20"/>
                    </w:rPr>
                    <w:t>RF007</w:t>
                  </w:r>
                </w:p>
              </w:tc>
              <w:tc>
                <w:tcPr>
                  <w:tcW w:w="4441" w:type="dxa"/>
                </w:tcPr>
                <w:p w14:paraId="3418503C" w14:textId="2029314E" w:rsidR="00124766" w:rsidRDefault="00124766" w:rsidP="00136EEC">
                  <w:pPr>
                    <w:rPr>
                      <w:rFonts w:cstheme="minorHAnsi"/>
                      <w:sz w:val="20"/>
                      <w:szCs w:val="20"/>
                    </w:rPr>
                  </w:pPr>
                  <w:r w:rsidRPr="00974AF2">
                    <w:rPr>
                      <w:rFonts w:cstheme="minorHAnsi"/>
                      <w:sz w:val="20"/>
                      <w:szCs w:val="20"/>
                    </w:rPr>
                    <w:t>ULTRA-LOW TEMPERATURE FREEZER, &gt;= 24 CUBIC FEET</w:t>
                  </w:r>
                </w:p>
              </w:tc>
            </w:tr>
          </w:tbl>
          <w:p w14:paraId="659C3128" w14:textId="77777777" w:rsidR="00124766" w:rsidRDefault="00124766" w:rsidP="00136EEC">
            <w:pPr>
              <w:rPr>
                <w:rFonts w:cstheme="minorHAnsi"/>
                <w:sz w:val="20"/>
                <w:szCs w:val="20"/>
              </w:rPr>
            </w:pPr>
          </w:p>
          <w:p w14:paraId="09CC493C" w14:textId="65644DF4" w:rsidR="00124766" w:rsidRPr="006527B1" w:rsidRDefault="00124766" w:rsidP="00136EEC">
            <w:pPr>
              <w:rPr>
                <w:sz w:val="20"/>
                <w:szCs w:val="20"/>
              </w:rPr>
            </w:pPr>
          </w:p>
        </w:tc>
      </w:tr>
      <w:tr w:rsidR="00CB11C9" w:rsidRPr="006527B1" w14:paraId="11CCD6A4" w14:textId="77777777" w:rsidTr="00055713">
        <w:trPr>
          <w:trHeight w:val="1159"/>
        </w:trPr>
        <w:tc>
          <w:tcPr>
            <w:tcW w:w="2831" w:type="dxa"/>
            <w:vAlign w:val="center"/>
          </w:tcPr>
          <w:p w14:paraId="43BF6E65" w14:textId="77777777" w:rsidR="00CB11C9" w:rsidRDefault="00CB11C9" w:rsidP="00D81D2F">
            <w:pPr>
              <w:rPr>
                <w:rFonts w:cs="Arial"/>
                <w:sz w:val="20"/>
                <w:szCs w:val="20"/>
              </w:rPr>
            </w:pPr>
            <w:r w:rsidRPr="006527B1">
              <w:rPr>
                <w:rFonts w:cs="Arial"/>
                <w:sz w:val="20"/>
                <w:szCs w:val="20"/>
              </w:rPr>
              <w:t xml:space="preserve">Code </w:t>
            </w:r>
            <w:r w:rsidR="00F67972" w:rsidRPr="006527B1">
              <w:rPr>
                <w:rFonts w:cs="Arial"/>
                <w:sz w:val="20"/>
                <w:szCs w:val="20"/>
              </w:rPr>
              <w:t>for Measure</w:t>
            </w:r>
          </w:p>
          <w:p w14:paraId="376F7E81" w14:textId="3C80F2C2" w:rsidR="00A4362B" w:rsidRPr="006527B1" w:rsidRDefault="00A4362B" w:rsidP="00D81D2F">
            <w:pPr>
              <w:rPr>
                <w:rFonts w:cs="Arial"/>
                <w:sz w:val="20"/>
                <w:szCs w:val="20"/>
              </w:rPr>
            </w:pPr>
            <w:r>
              <w:rPr>
                <w:b/>
                <w:sz w:val="20"/>
                <w:szCs w:val="20"/>
              </w:rPr>
              <w:t xml:space="preserve">(Cited per </w:t>
            </w:r>
            <w:r w:rsidR="00D81D2F">
              <w:rPr>
                <w:b/>
                <w:sz w:val="20"/>
                <w:szCs w:val="20"/>
              </w:rPr>
              <w:t>PGE</w:t>
            </w:r>
            <w:r>
              <w:rPr>
                <w:b/>
                <w:sz w:val="20"/>
                <w:szCs w:val="20"/>
              </w:rPr>
              <w:t xml:space="preserve"> Workpaper as stated in Document Revision History)</w:t>
            </w:r>
          </w:p>
        </w:tc>
        <w:tc>
          <w:tcPr>
            <w:tcW w:w="6756" w:type="dxa"/>
          </w:tcPr>
          <w:p w14:paraId="4B54DDC6" w14:textId="06A03787" w:rsidR="00F67972" w:rsidRPr="006527B1" w:rsidRDefault="00F40E3E" w:rsidP="008D0093">
            <w:pPr>
              <w:rPr>
                <w:rFonts w:cs="Arial"/>
                <w:sz w:val="20"/>
                <w:szCs w:val="20"/>
              </w:rPr>
            </w:pPr>
            <w:r w:rsidRPr="006527B1">
              <w:rPr>
                <w:sz w:val="20"/>
                <w:szCs w:val="20"/>
              </w:rPr>
              <w:t>There is no code or other jurisdictional requirements related to these measures.</w:t>
            </w:r>
            <w:r w:rsidR="0021346C" w:rsidRPr="006527B1">
              <w:rPr>
                <w:sz w:val="20"/>
                <w:szCs w:val="20"/>
              </w:rPr>
              <w:t xml:space="preserve"> </w:t>
            </w:r>
          </w:p>
        </w:tc>
      </w:tr>
      <w:tr w:rsidR="00754912" w:rsidRPr="006527B1" w14:paraId="179750D8" w14:textId="77777777" w:rsidTr="00055713">
        <w:trPr>
          <w:trHeight w:val="1660"/>
        </w:trPr>
        <w:tc>
          <w:tcPr>
            <w:tcW w:w="2831" w:type="dxa"/>
            <w:vAlign w:val="center"/>
          </w:tcPr>
          <w:p w14:paraId="06128CD8" w14:textId="2060BA86" w:rsidR="00754912" w:rsidRPr="006527B1" w:rsidRDefault="00754912" w:rsidP="00D81D2F">
            <w:pPr>
              <w:rPr>
                <w:rFonts w:cs="Arial"/>
                <w:sz w:val="20"/>
                <w:szCs w:val="20"/>
              </w:rPr>
            </w:pPr>
            <w:r w:rsidRPr="006527B1">
              <w:rPr>
                <w:rFonts w:cs="Arial"/>
                <w:sz w:val="20"/>
                <w:szCs w:val="20"/>
              </w:rPr>
              <w:t>Requirements</w:t>
            </w:r>
          </w:p>
        </w:tc>
        <w:tc>
          <w:tcPr>
            <w:tcW w:w="6756" w:type="dxa"/>
          </w:tcPr>
          <w:p w14:paraId="53713B6B" w14:textId="77777777" w:rsidR="00751D93" w:rsidRDefault="00751D93" w:rsidP="00751D93">
            <w:pPr>
              <w:pStyle w:val="Default"/>
              <w:rPr>
                <w:sz w:val="22"/>
                <w:szCs w:val="22"/>
              </w:rPr>
            </w:pPr>
            <w:r>
              <w:rPr>
                <w:sz w:val="22"/>
                <w:szCs w:val="22"/>
              </w:rPr>
              <w:t xml:space="preserve">The measure type is Replace on Burnout or New Construction (ROBNC). A qualifying product must have the following: </w:t>
            </w:r>
          </w:p>
          <w:p w14:paraId="01006932" w14:textId="77777777" w:rsidR="00751D93" w:rsidRDefault="00751D93" w:rsidP="00751D93">
            <w:pPr>
              <w:pStyle w:val="Default"/>
              <w:numPr>
                <w:ilvl w:val="0"/>
                <w:numId w:val="29"/>
              </w:numPr>
              <w:spacing w:after="30"/>
              <w:rPr>
                <w:sz w:val="22"/>
                <w:szCs w:val="22"/>
              </w:rPr>
            </w:pPr>
            <w:r>
              <w:rPr>
                <w:sz w:val="22"/>
                <w:szCs w:val="22"/>
              </w:rPr>
              <w:t xml:space="preserve">Upright ULT freezer designed for laboratory application that is capable of maintaining set point storage temperatures between -70 °C and -80 °C (-94 °F and -112 °F) </w:t>
            </w:r>
          </w:p>
          <w:p w14:paraId="6D6064EC" w14:textId="77777777" w:rsidR="00751D93" w:rsidRDefault="00751D93" w:rsidP="00751D93">
            <w:pPr>
              <w:pStyle w:val="Default"/>
              <w:numPr>
                <w:ilvl w:val="0"/>
                <w:numId w:val="29"/>
              </w:numPr>
              <w:spacing w:after="30"/>
              <w:rPr>
                <w:sz w:val="22"/>
                <w:szCs w:val="22"/>
              </w:rPr>
            </w:pPr>
            <w:r w:rsidRPr="00751D93">
              <w:rPr>
                <w:sz w:val="22"/>
                <w:szCs w:val="22"/>
              </w:rPr>
              <w:t xml:space="preserve">ENERGY STAR® certification </w:t>
            </w:r>
          </w:p>
          <w:p w14:paraId="2932BEE9" w14:textId="05D59276" w:rsidR="00751D93" w:rsidRPr="00751D93" w:rsidRDefault="00751D93" w:rsidP="00751D93">
            <w:pPr>
              <w:pStyle w:val="Default"/>
              <w:numPr>
                <w:ilvl w:val="0"/>
                <w:numId w:val="29"/>
              </w:numPr>
              <w:spacing w:after="30"/>
              <w:rPr>
                <w:sz w:val="22"/>
                <w:szCs w:val="22"/>
              </w:rPr>
            </w:pPr>
            <w:r w:rsidRPr="00751D93">
              <w:rPr>
                <w:sz w:val="22"/>
                <w:szCs w:val="22"/>
              </w:rPr>
              <w:t>15 ft</w:t>
            </w:r>
            <w:r w:rsidRPr="00751D93">
              <w:rPr>
                <w:sz w:val="14"/>
                <w:szCs w:val="14"/>
              </w:rPr>
              <w:t xml:space="preserve">3 </w:t>
            </w:r>
            <w:r w:rsidRPr="00751D93">
              <w:rPr>
                <w:sz w:val="22"/>
                <w:szCs w:val="22"/>
              </w:rPr>
              <w:t>&lt; Volume ≤ 29 ft</w:t>
            </w:r>
            <w:r w:rsidRPr="00751D93">
              <w:rPr>
                <w:sz w:val="14"/>
                <w:szCs w:val="14"/>
              </w:rPr>
              <w:t xml:space="preserve">3 </w:t>
            </w:r>
          </w:p>
          <w:p w14:paraId="10B1FF2E" w14:textId="65FA6E95" w:rsidR="00754912" w:rsidRPr="006527B1" w:rsidRDefault="00754912" w:rsidP="00751D93">
            <w:pPr>
              <w:pStyle w:val="Reminders"/>
              <w:ind w:left="360"/>
              <w:rPr>
                <w:rFonts w:asciiTheme="minorHAnsi" w:hAnsiTheme="minorHAnsi" w:cstheme="minorHAnsi"/>
                <w:color w:val="auto"/>
                <w:sz w:val="20"/>
                <w:szCs w:val="20"/>
              </w:rPr>
            </w:pPr>
          </w:p>
        </w:tc>
      </w:tr>
      <w:tr w:rsidR="00502543" w:rsidRPr="006527B1" w14:paraId="1DE17E3A" w14:textId="77777777" w:rsidTr="00055713">
        <w:trPr>
          <w:trHeight w:val="720"/>
        </w:trPr>
        <w:tc>
          <w:tcPr>
            <w:tcW w:w="2831" w:type="dxa"/>
            <w:vAlign w:val="center"/>
          </w:tcPr>
          <w:p w14:paraId="761640EF" w14:textId="7A4294D3" w:rsidR="00502543" w:rsidRPr="006527B1" w:rsidRDefault="00502543" w:rsidP="00D81D2F">
            <w:pPr>
              <w:rPr>
                <w:rFonts w:cs="Arial"/>
                <w:sz w:val="20"/>
                <w:szCs w:val="20"/>
              </w:rPr>
            </w:pPr>
            <w:r w:rsidRPr="001D77F7">
              <w:rPr>
                <w:b/>
              </w:rPr>
              <w:t>1.3 Installation Type and Delivery Mechanisms</w:t>
            </w:r>
          </w:p>
        </w:tc>
        <w:tc>
          <w:tcPr>
            <w:tcW w:w="6756" w:type="dxa"/>
          </w:tcPr>
          <w:p w14:paraId="4EC60603" w14:textId="77777777" w:rsidR="00502543" w:rsidRDefault="00502543" w:rsidP="00751D93">
            <w:pPr>
              <w:pStyle w:val="Default"/>
              <w:rPr>
                <w:sz w:val="22"/>
                <w:szCs w:val="22"/>
              </w:rPr>
            </w:pPr>
          </w:p>
        </w:tc>
      </w:tr>
      <w:tr w:rsidR="00CB11C9" w:rsidRPr="006527B1" w14:paraId="1706D494" w14:textId="77777777" w:rsidTr="00055713">
        <w:trPr>
          <w:trHeight w:val="191"/>
        </w:trPr>
        <w:tc>
          <w:tcPr>
            <w:tcW w:w="2831" w:type="dxa"/>
            <w:vAlign w:val="center"/>
          </w:tcPr>
          <w:p w14:paraId="5AB0CB7F" w14:textId="77777777" w:rsidR="00CB11C9" w:rsidRPr="006527B1" w:rsidRDefault="00CB11C9" w:rsidP="00D81D2F">
            <w:pPr>
              <w:rPr>
                <w:sz w:val="20"/>
                <w:szCs w:val="20"/>
              </w:rPr>
            </w:pPr>
            <w:r w:rsidRPr="006527B1">
              <w:rPr>
                <w:sz w:val="20"/>
                <w:szCs w:val="20"/>
              </w:rPr>
              <w:lastRenderedPageBreak/>
              <w:t>Installation Type</w:t>
            </w:r>
          </w:p>
        </w:tc>
        <w:tc>
          <w:tcPr>
            <w:tcW w:w="6756" w:type="dxa"/>
          </w:tcPr>
          <w:p w14:paraId="62C41281" w14:textId="6941F3B9" w:rsidR="00CB11C9" w:rsidRPr="006527B1" w:rsidRDefault="00751D93" w:rsidP="00B6605C">
            <w:pPr>
              <w:rPr>
                <w:rFonts w:cs="Arial"/>
                <w:sz w:val="20"/>
                <w:szCs w:val="20"/>
              </w:rPr>
            </w:pPr>
            <w:r w:rsidRPr="00751D93">
              <w:rPr>
                <w:rFonts w:cs="Arial"/>
                <w:sz w:val="20"/>
                <w:szCs w:val="20"/>
              </w:rPr>
              <w:t>Replace on Burnout or New Construction (ROB</w:t>
            </w:r>
            <w:r w:rsidR="00BB31F6">
              <w:rPr>
                <w:rFonts w:cs="Arial"/>
                <w:sz w:val="20"/>
                <w:szCs w:val="20"/>
              </w:rPr>
              <w:t>/</w:t>
            </w:r>
            <w:r w:rsidRPr="00751D93">
              <w:rPr>
                <w:rFonts w:cs="Arial"/>
                <w:sz w:val="20"/>
                <w:szCs w:val="20"/>
              </w:rPr>
              <w:t>NC)</w:t>
            </w:r>
          </w:p>
        </w:tc>
      </w:tr>
      <w:tr w:rsidR="00033394" w:rsidRPr="006527B1" w14:paraId="6DA38118" w14:textId="77777777" w:rsidTr="00055713">
        <w:trPr>
          <w:trHeight w:val="191"/>
        </w:trPr>
        <w:tc>
          <w:tcPr>
            <w:tcW w:w="2831" w:type="dxa"/>
            <w:vAlign w:val="center"/>
          </w:tcPr>
          <w:p w14:paraId="062455B4" w14:textId="666326F3" w:rsidR="00033394" w:rsidRPr="006527B1" w:rsidRDefault="005D3755" w:rsidP="00D81D2F">
            <w:pPr>
              <w:rPr>
                <w:sz w:val="20"/>
                <w:szCs w:val="20"/>
              </w:rPr>
            </w:pPr>
            <w:r>
              <w:rPr>
                <w:sz w:val="20"/>
                <w:szCs w:val="20"/>
              </w:rPr>
              <w:t xml:space="preserve">Delivery Mechanism </w:t>
            </w:r>
          </w:p>
        </w:tc>
        <w:tc>
          <w:tcPr>
            <w:tcW w:w="6756" w:type="dxa"/>
          </w:tcPr>
          <w:p w14:paraId="3D5D595C" w14:textId="77777777" w:rsidR="005D3755" w:rsidRDefault="005D3755" w:rsidP="005D3755">
            <w:pPr>
              <w:rPr>
                <w:rFonts w:cs="Arial"/>
                <w:sz w:val="20"/>
                <w:szCs w:val="20"/>
              </w:rPr>
            </w:pPr>
            <w:r w:rsidRPr="00FE636E">
              <w:rPr>
                <w:rFonts w:cs="Arial"/>
                <w:sz w:val="20"/>
                <w:szCs w:val="20"/>
              </w:rPr>
              <w:t>Downstream Rebate – Deemed</w:t>
            </w:r>
          </w:p>
          <w:p w14:paraId="4139EAB3" w14:textId="3770B0C6" w:rsidR="005D3755" w:rsidRDefault="005D3755" w:rsidP="005D3755">
            <w:pPr>
              <w:rPr>
                <w:rFonts w:cs="Arial"/>
                <w:sz w:val="20"/>
                <w:szCs w:val="20"/>
              </w:rPr>
            </w:pPr>
            <w:r>
              <w:rPr>
                <w:rFonts w:cs="Arial"/>
                <w:sz w:val="20"/>
                <w:szCs w:val="20"/>
              </w:rPr>
              <w:t xml:space="preserve">Direct Install </w:t>
            </w:r>
            <w:r w:rsidR="006014D0">
              <w:rPr>
                <w:rFonts w:cs="Arial"/>
                <w:sz w:val="20"/>
                <w:szCs w:val="20"/>
              </w:rPr>
              <w:t>–</w:t>
            </w:r>
            <w:r>
              <w:rPr>
                <w:rFonts w:cs="Arial"/>
                <w:sz w:val="20"/>
                <w:szCs w:val="20"/>
              </w:rPr>
              <w:t xml:space="preserve"> Deemed</w:t>
            </w:r>
          </w:p>
          <w:p w14:paraId="68278380" w14:textId="77777777" w:rsidR="006014D0" w:rsidRDefault="006014D0" w:rsidP="005D3755">
            <w:pPr>
              <w:rPr>
                <w:rFonts w:cs="Arial"/>
                <w:sz w:val="20"/>
                <w:szCs w:val="20"/>
              </w:rPr>
            </w:pPr>
          </w:p>
          <w:p w14:paraId="3AF8961C" w14:textId="11EE25FE" w:rsidR="00033394" w:rsidRPr="00751D93" w:rsidRDefault="005D3755" w:rsidP="005D3755">
            <w:pPr>
              <w:rPr>
                <w:rFonts w:cs="Arial"/>
                <w:sz w:val="20"/>
                <w:szCs w:val="20"/>
              </w:rPr>
            </w:pPr>
            <w:r>
              <w:rPr>
                <w:rFonts w:cs="Arial"/>
                <w:sz w:val="20"/>
                <w:szCs w:val="20"/>
              </w:rPr>
              <w:t>NOTE:  Measures are offered in the SDG&amp;E Business Energy Solutions is a Direct Install program yet require a customer co-pay and are treated as downstream deemed.</w:t>
            </w:r>
          </w:p>
        </w:tc>
      </w:tr>
      <w:tr w:rsidR="00CB11C9" w:rsidRPr="006527B1" w14:paraId="1CEA8B67" w14:textId="77777777" w:rsidTr="00055713">
        <w:trPr>
          <w:trHeight w:val="215"/>
        </w:trPr>
        <w:tc>
          <w:tcPr>
            <w:tcW w:w="2831" w:type="dxa"/>
          </w:tcPr>
          <w:p w14:paraId="5F140F1D" w14:textId="77777777" w:rsidR="00BB31F6" w:rsidRDefault="00BB31F6" w:rsidP="00D81D2F">
            <w:pPr>
              <w:rPr>
                <w:b/>
                <w:szCs w:val="22"/>
              </w:rPr>
            </w:pPr>
          </w:p>
          <w:p w14:paraId="7F73A69A" w14:textId="1FD23A52" w:rsidR="00CB11C9" w:rsidRPr="004A6977" w:rsidRDefault="00CB11C9" w:rsidP="00D81D2F">
            <w:pPr>
              <w:rPr>
                <w:b/>
                <w:szCs w:val="22"/>
              </w:rPr>
            </w:pPr>
            <w:r w:rsidRPr="004A6977">
              <w:rPr>
                <w:b/>
                <w:szCs w:val="22"/>
              </w:rPr>
              <w:t>1.4.1 DEER Data</w:t>
            </w:r>
          </w:p>
        </w:tc>
        <w:tc>
          <w:tcPr>
            <w:tcW w:w="6756" w:type="dxa"/>
          </w:tcPr>
          <w:p w14:paraId="12CB50E1" w14:textId="77777777" w:rsidR="00CB11C9" w:rsidRPr="006527B1" w:rsidRDefault="00CB11C9" w:rsidP="005B2619">
            <w:pPr>
              <w:rPr>
                <w:sz w:val="20"/>
                <w:szCs w:val="20"/>
              </w:rPr>
            </w:pPr>
          </w:p>
        </w:tc>
      </w:tr>
      <w:tr w:rsidR="00CB11C9" w:rsidRPr="006527B1" w14:paraId="01BD478D" w14:textId="77777777" w:rsidTr="00055713">
        <w:trPr>
          <w:trHeight w:val="191"/>
        </w:trPr>
        <w:tc>
          <w:tcPr>
            <w:tcW w:w="2831" w:type="dxa"/>
          </w:tcPr>
          <w:p w14:paraId="6CF2A2B7" w14:textId="77777777" w:rsidR="00CB11C9" w:rsidRPr="006527B1" w:rsidRDefault="00CB11C9" w:rsidP="00D81D2F">
            <w:pPr>
              <w:rPr>
                <w:sz w:val="20"/>
                <w:szCs w:val="20"/>
              </w:rPr>
            </w:pPr>
            <w:r w:rsidRPr="006527B1">
              <w:rPr>
                <w:sz w:val="20"/>
                <w:szCs w:val="20"/>
              </w:rPr>
              <w:t>DEER Measure ID</w:t>
            </w:r>
          </w:p>
        </w:tc>
        <w:tc>
          <w:tcPr>
            <w:tcW w:w="6756" w:type="dxa"/>
          </w:tcPr>
          <w:p w14:paraId="33593E71" w14:textId="77777777" w:rsidR="00CB11C9" w:rsidRPr="006527B1" w:rsidRDefault="00CB11C9" w:rsidP="005B2619">
            <w:pPr>
              <w:rPr>
                <w:rFonts w:cs="Arial"/>
                <w:sz w:val="20"/>
                <w:szCs w:val="20"/>
              </w:rPr>
            </w:pPr>
            <w:r w:rsidRPr="006527B1">
              <w:rPr>
                <w:rFonts w:cs="Arial"/>
                <w:sz w:val="20"/>
                <w:szCs w:val="20"/>
              </w:rPr>
              <w:t>DEER does not contain this type of measure.</w:t>
            </w:r>
          </w:p>
        </w:tc>
      </w:tr>
      <w:tr w:rsidR="00CB11C9" w:rsidRPr="006527B1" w14:paraId="37374930" w14:textId="77777777" w:rsidTr="00055713">
        <w:trPr>
          <w:trHeight w:val="191"/>
        </w:trPr>
        <w:tc>
          <w:tcPr>
            <w:tcW w:w="2831" w:type="dxa"/>
            <w:vAlign w:val="center"/>
          </w:tcPr>
          <w:p w14:paraId="556E9F2C" w14:textId="77777777" w:rsidR="00CB11C9" w:rsidRPr="006527B1" w:rsidRDefault="00CB11C9" w:rsidP="00D81D2F">
            <w:pPr>
              <w:rPr>
                <w:sz w:val="20"/>
                <w:szCs w:val="20"/>
              </w:rPr>
            </w:pPr>
            <w:r w:rsidRPr="006527B1">
              <w:rPr>
                <w:sz w:val="20"/>
                <w:szCs w:val="20"/>
              </w:rPr>
              <w:t>Net-to-Gross Ratio</w:t>
            </w:r>
          </w:p>
        </w:tc>
        <w:tc>
          <w:tcPr>
            <w:tcW w:w="6756" w:type="dxa"/>
          </w:tcPr>
          <w:p w14:paraId="0FDD489C" w14:textId="559D3087" w:rsidR="00CB11C9" w:rsidRPr="006527B1" w:rsidRDefault="00BB31F6" w:rsidP="005B2619">
            <w:pPr>
              <w:rPr>
                <w:rFonts w:cs="Arial"/>
                <w:sz w:val="20"/>
                <w:szCs w:val="20"/>
              </w:rPr>
            </w:pPr>
            <w:r w:rsidRPr="00BB31F6">
              <w:rPr>
                <w:rFonts w:cs="Arial"/>
                <w:sz w:val="20"/>
                <w:szCs w:val="20"/>
              </w:rPr>
              <w:t>ET-Default</w:t>
            </w:r>
            <w:r>
              <w:rPr>
                <w:rFonts w:cs="Arial"/>
                <w:sz w:val="20"/>
                <w:szCs w:val="20"/>
              </w:rPr>
              <w:t>:</w:t>
            </w:r>
            <w:r>
              <w:t xml:space="preserve"> </w:t>
            </w:r>
            <w:r w:rsidRPr="00BB31F6">
              <w:rPr>
                <w:rFonts w:cs="Arial"/>
                <w:sz w:val="20"/>
                <w:szCs w:val="20"/>
              </w:rPr>
              <w:t>0.85</w:t>
            </w:r>
          </w:p>
        </w:tc>
      </w:tr>
      <w:tr w:rsidR="00CB11C9" w:rsidRPr="006527B1" w14:paraId="2A6F9BA0" w14:textId="77777777" w:rsidTr="00055713">
        <w:trPr>
          <w:trHeight w:val="968"/>
        </w:trPr>
        <w:tc>
          <w:tcPr>
            <w:tcW w:w="2831" w:type="dxa"/>
            <w:vAlign w:val="center"/>
          </w:tcPr>
          <w:p w14:paraId="058912D1" w14:textId="76A393F8" w:rsidR="00CB11C9" w:rsidRDefault="00CB11C9" w:rsidP="00D81D2F">
            <w:pPr>
              <w:rPr>
                <w:sz w:val="20"/>
                <w:szCs w:val="20"/>
              </w:rPr>
            </w:pPr>
            <w:r w:rsidRPr="006527B1">
              <w:rPr>
                <w:sz w:val="20"/>
                <w:szCs w:val="20"/>
              </w:rPr>
              <w:t>Effective and Remaining Useful Life</w:t>
            </w:r>
            <w:r w:rsidR="00A4362B">
              <w:rPr>
                <w:sz w:val="20"/>
                <w:szCs w:val="20"/>
              </w:rPr>
              <w:t xml:space="preserve"> </w:t>
            </w:r>
          </w:p>
          <w:p w14:paraId="5EFF78F9" w14:textId="6F4A1765" w:rsidR="00A4362B" w:rsidRPr="006527B1" w:rsidRDefault="00A4362B" w:rsidP="00D81D2F">
            <w:pPr>
              <w:rPr>
                <w:sz w:val="20"/>
                <w:szCs w:val="20"/>
              </w:rPr>
            </w:pPr>
            <w:r>
              <w:rPr>
                <w:b/>
                <w:sz w:val="20"/>
                <w:szCs w:val="20"/>
              </w:rPr>
              <w:t xml:space="preserve">(Cited per </w:t>
            </w:r>
            <w:r w:rsidR="00D81D2F">
              <w:rPr>
                <w:b/>
                <w:sz w:val="20"/>
                <w:szCs w:val="20"/>
              </w:rPr>
              <w:t>PGE</w:t>
            </w:r>
            <w:r>
              <w:rPr>
                <w:b/>
                <w:sz w:val="20"/>
                <w:szCs w:val="20"/>
              </w:rPr>
              <w:t xml:space="preserve"> Workpaper as stated in Document Revision History)</w:t>
            </w:r>
          </w:p>
        </w:tc>
        <w:tc>
          <w:tcPr>
            <w:tcW w:w="6756" w:type="dxa"/>
          </w:tcPr>
          <w:p w14:paraId="3AC3F417" w14:textId="4284ABA8" w:rsidR="00CB11C9" w:rsidRPr="006527B1" w:rsidRDefault="00B6605C" w:rsidP="005B2619">
            <w:pPr>
              <w:rPr>
                <w:rFonts w:cstheme="minorHAnsi"/>
                <w:sz w:val="20"/>
                <w:szCs w:val="20"/>
              </w:rPr>
            </w:pPr>
            <w:r w:rsidRPr="006527B1">
              <w:rPr>
                <w:rFonts w:cstheme="minorHAnsi"/>
                <w:sz w:val="20"/>
                <w:szCs w:val="20"/>
              </w:rPr>
              <w:t>EUL_ID</w:t>
            </w:r>
            <w:r w:rsidR="00B270D6">
              <w:rPr>
                <w:rFonts w:cstheme="minorHAnsi"/>
                <w:sz w:val="20"/>
                <w:szCs w:val="20"/>
              </w:rPr>
              <w:t xml:space="preserve"> / RUL_ID </w:t>
            </w:r>
            <w:r w:rsidRPr="006527B1">
              <w:rPr>
                <w:rFonts w:cstheme="minorHAnsi"/>
                <w:sz w:val="20"/>
                <w:szCs w:val="20"/>
              </w:rPr>
              <w:t xml:space="preserve">: </w:t>
            </w:r>
            <w:r w:rsidR="001D0AC5" w:rsidRPr="001D0AC5">
              <w:rPr>
                <w:rFonts w:cstheme="minorHAnsi"/>
                <w:sz w:val="20"/>
                <w:szCs w:val="20"/>
              </w:rPr>
              <w:t>GrocDisp-FixtDoors</w:t>
            </w:r>
            <w:r w:rsidR="001D0AC5">
              <w:rPr>
                <w:rFonts w:cstheme="minorHAnsi"/>
                <w:sz w:val="20"/>
                <w:szCs w:val="20"/>
              </w:rPr>
              <w:t xml:space="preserve"> </w:t>
            </w:r>
            <w:r w:rsidR="00B270D6">
              <w:rPr>
                <w:rFonts w:cstheme="minorHAnsi"/>
                <w:sz w:val="20"/>
                <w:szCs w:val="20"/>
              </w:rPr>
              <w:t xml:space="preserve">= </w:t>
            </w:r>
            <w:r w:rsidR="001D0AC5">
              <w:rPr>
                <w:rFonts w:cstheme="minorHAnsi"/>
                <w:sz w:val="20"/>
                <w:szCs w:val="20"/>
              </w:rPr>
              <w:t>12 / 4</w:t>
            </w:r>
            <w:r w:rsidR="00A4362B">
              <w:rPr>
                <w:rFonts w:cstheme="minorHAnsi"/>
                <w:sz w:val="20"/>
                <w:szCs w:val="20"/>
              </w:rPr>
              <w:t xml:space="preserve"> years</w:t>
            </w:r>
          </w:p>
          <w:p w14:paraId="09D0CDB0" w14:textId="05E98862" w:rsidR="00B6605C" w:rsidRPr="006527B1" w:rsidRDefault="00B6605C" w:rsidP="005B2619">
            <w:pPr>
              <w:rPr>
                <w:rFonts w:cs="Arial"/>
                <w:sz w:val="20"/>
                <w:szCs w:val="20"/>
              </w:rPr>
            </w:pPr>
          </w:p>
        </w:tc>
      </w:tr>
      <w:tr w:rsidR="00CB11C9" w:rsidRPr="006527B1" w14:paraId="1AAF5F25" w14:textId="77777777" w:rsidTr="00055713">
        <w:trPr>
          <w:trHeight w:val="215"/>
        </w:trPr>
        <w:tc>
          <w:tcPr>
            <w:tcW w:w="2831" w:type="dxa"/>
            <w:vAlign w:val="center"/>
          </w:tcPr>
          <w:p w14:paraId="391E1CE3" w14:textId="53471398" w:rsidR="00CB11C9" w:rsidRPr="004A6977" w:rsidRDefault="00CB11C9" w:rsidP="00D81D2F">
            <w:pPr>
              <w:rPr>
                <w:b/>
                <w:szCs w:val="22"/>
              </w:rPr>
            </w:pPr>
            <w:r w:rsidRPr="004A6977">
              <w:rPr>
                <w:b/>
                <w:szCs w:val="22"/>
              </w:rPr>
              <w:t>Section 2. Calculation Methodology</w:t>
            </w:r>
            <w:r w:rsidR="00B270D6" w:rsidRPr="004A6977">
              <w:rPr>
                <w:b/>
                <w:szCs w:val="22"/>
              </w:rPr>
              <w:t xml:space="preserve"> </w:t>
            </w:r>
          </w:p>
          <w:p w14:paraId="16B215EE" w14:textId="4D925B97" w:rsidR="00B270D6" w:rsidRPr="006527B1" w:rsidRDefault="00B270D6" w:rsidP="00D81D2F">
            <w:pPr>
              <w:rPr>
                <w:b/>
                <w:sz w:val="20"/>
                <w:szCs w:val="20"/>
              </w:rPr>
            </w:pPr>
            <w:r>
              <w:rPr>
                <w:b/>
                <w:sz w:val="20"/>
                <w:szCs w:val="20"/>
              </w:rPr>
              <w:t>(Cit</w:t>
            </w:r>
            <w:r w:rsidR="00D81D2F">
              <w:rPr>
                <w:b/>
                <w:sz w:val="20"/>
                <w:szCs w:val="20"/>
              </w:rPr>
              <w:t>ed per PGE</w:t>
            </w:r>
            <w:r>
              <w:rPr>
                <w:b/>
                <w:sz w:val="20"/>
                <w:szCs w:val="20"/>
              </w:rPr>
              <w:t xml:space="preserve"> Workpaper as stated in Document Revision His</w:t>
            </w:r>
            <w:r w:rsidR="00A4362B">
              <w:rPr>
                <w:b/>
                <w:sz w:val="20"/>
                <w:szCs w:val="20"/>
              </w:rPr>
              <w:t>t</w:t>
            </w:r>
            <w:r>
              <w:rPr>
                <w:b/>
                <w:sz w:val="20"/>
                <w:szCs w:val="20"/>
              </w:rPr>
              <w:t>ory)</w:t>
            </w:r>
          </w:p>
        </w:tc>
        <w:tc>
          <w:tcPr>
            <w:tcW w:w="6756" w:type="dxa"/>
            <w:vAlign w:val="center"/>
          </w:tcPr>
          <w:p w14:paraId="20EF62D6" w14:textId="53980589" w:rsidR="00545278" w:rsidRPr="00D81D2F" w:rsidRDefault="00545278" w:rsidP="00D81D2F">
            <w:pPr>
              <w:pStyle w:val="Default"/>
              <w:rPr>
                <w:sz w:val="20"/>
                <w:szCs w:val="20"/>
              </w:rPr>
            </w:pPr>
          </w:p>
        </w:tc>
      </w:tr>
      <w:tr w:rsidR="0025623A" w:rsidRPr="006527B1" w14:paraId="2786E351" w14:textId="77777777" w:rsidTr="00055713">
        <w:trPr>
          <w:trHeight w:val="115"/>
        </w:trPr>
        <w:tc>
          <w:tcPr>
            <w:tcW w:w="2831" w:type="dxa"/>
            <w:vAlign w:val="center"/>
          </w:tcPr>
          <w:p w14:paraId="48F4AE72" w14:textId="7CCB716A" w:rsidR="0025623A" w:rsidRPr="006527B1" w:rsidRDefault="0025623A" w:rsidP="00D81D2F">
            <w:pPr>
              <w:rPr>
                <w:b/>
                <w:sz w:val="20"/>
                <w:szCs w:val="20"/>
              </w:rPr>
            </w:pPr>
            <w:r w:rsidRPr="006527B1">
              <w:rPr>
                <w:b/>
                <w:sz w:val="20"/>
                <w:szCs w:val="20"/>
              </w:rPr>
              <w:t>Units</w:t>
            </w:r>
          </w:p>
        </w:tc>
        <w:tc>
          <w:tcPr>
            <w:tcW w:w="6756" w:type="dxa"/>
            <w:vAlign w:val="center"/>
          </w:tcPr>
          <w:p w14:paraId="6DD53609" w14:textId="0A194B90" w:rsidR="0025623A" w:rsidRPr="006527B1" w:rsidRDefault="006014D0" w:rsidP="00136EEC">
            <w:pPr>
              <w:rPr>
                <w:rFonts w:cstheme="minorHAnsi"/>
                <w:sz w:val="20"/>
                <w:szCs w:val="20"/>
              </w:rPr>
            </w:pPr>
            <w:r>
              <w:rPr>
                <w:rFonts w:cstheme="minorHAnsi"/>
                <w:sz w:val="20"/>
                <w:szCs w:val="20"/>
              </w:rPr>
              <w:t xml:space="preserve"> As cited per PGE workpaper PGECOREF130 Rev 0 and not exceptions taken. </w:t>
            </w:r>
          </w:p>
        </w:tc>
      </w:tr>
      <w:tr w:rsidR="00CB11C9" w:rsidRPr="006527B1" w14:paraId="2ED6E4F8" w14:textId="77777777" w:rsidTr="00055713">
        <w:trPr>
          <w:trHeight w:val="115"/>
        </w:trPr>
        <w:tc>
          <w:tcPr>
            <w:tcW w:w="2831" w:type="dxa"/>
            <w:vAlign w:val="center"/>
          </w:tcPr>
          <w:p w14:paraId="31EC274C" w14:textId="77777777" w:rsidR="00CB11C9" w:rsidRPr="004A6977" w:rsidRDefault="00CB11C9" w:rsidP="00D81D2F">
            <w:pPr>
              <w:rPr>
                <w:b/>
                <w:szCs w:val="22"/>
              </w:rPr>
            </w:pPr>
            <w:r w:rsidRPr="004A6977">
              <w:rPr>
                <w:b/>
                <w:szCs w:val="22"/>
              </w:rPr>
              <w:t>Section 3. Load Shapes</w:t>
            </w:r>
          </w:p>
        </w:tc>
        <w:tc>
          <w:tcPr>
            <w:tcW w:w="6756" w:type="dxa"/>
          </w:tcPr>
          <w:p w14:paraId="4E194B52" w14:textId="77777777" w:rsidR="00AD09C9" w:rsidRDefault="00AD09C9" w:rsidP="005B2619">
            <w:pPr>
              <w:rPr>
                <w:sz w:val="20"/>
                <w:szCs w:val="20"/>
              </w:rPr>
            </w:pPr>
          </w:p>
          <w:p w14:paraId="58A7EAB5" w14:textId="1B165F40" w:rsidR="00D81D2F" w:rsidRDefault="00D81D2F" w:rsidP="00D81D2F">
            <w:pPr>
              <w:pStyle w:val="BodyText"/>
              <w:kinsoku w:val="0"/>
              <w:overflowPunct w:val="0"/>
              <w:jc w:val="center"/>
            </w:pPr>
            <w:r>
              <w:t>Building Types and Load Shapes</w:t>
            </w:r>
          </w:p>
          <w:tbl>
            <w:tblPr>
              <w:tblW w:w="0" w:type="auto"/>
              <w:tblInd w:w="103" w:type="dxa"/>
              <w:tblCellMar>
                <w:left w:w="0" w:type="dxa"/>
                <w:right w:w="0" w:type="dxa"/>
              </w:tblCellMar>
              <w:tblLook w:val="0000" w:firstRow="0" w:lastRow="0" w:firstColumn="0" w:lastColumn="0" w:noHBand="0" w:noVBand="0"/>
            </w:tblPr>
            <w:tblGrid>
              <w:gridCol w:w="2382"/>
              <w:gridCol w:w="1857"/>
              <w:gridCol w:w="1952"/>
            </w:tblGrid>
            <w:tr w:rsidR="00D81D2F" w14:paraId="3CEF9E58" w14:textId="77777777" w:rsidTr="00811294">
              <w:trPr>
                <w:trHeight w:hRule="exact" w:val="254"/>
              </w:trPr>
              <w:tc>
                <w:tcPr>
                  <w:tcW w:w="2382" w:type="dxa"/>
                  <w:tcBorders>
                    <w:top w:val="single" w:sz="4" w:space="0" w:color="000000"/>
                    <w:left w:val="single" w:sz="4" w:space="0" w:color="000000"/>
                    <w:bottom w:val="single" w:sz="4" w:space="0" w:color="000000"/>
                    <w:right w:val="single" w:sz="4" w:space="0" w:color="000000"/>
                  </w:tcBorders>
                  <w:shd w:val="clear" w:color="auto" w:fill="D9D9D9"/>
                </w:tcPr>
                <w:p w14:paraId="3CE41093" w14:textId="77777777" w:rsidR="00D81D2F" w:rsidRDefault="00D81D2F" w:rsidP="00D81D2F">
                  <w:pPr>
                    <w:pStyle w:val="TableParagraph"/>
                    <w:kinsoku w:val="0"/>
                    <w:overflowPunct w:val="0"/>
                    <w:rPr>
                      <w:rFonts w:ascii="Times New Roman" w:hAnsi="Times New Roman" w:cs="Times New Roman"/>
                    </w:rPr>
                  </w:pPr>
                  <w:r>
                    <w:rPr>
                      <w:b/>
                      <w:bCs/>
                      <w:sz w:val="20"/>
                      <w:szCs w:val="20"/>
                    </w:rPr>
                    <w:t>Building Type</w:t>
                  </w:r>
                </w:p>
              </w:tc>
              <w:tc>
                <w:tcPr>
                  <w:tcW w:w="1857" w:type="dxa"/>
                  <w:tcBorders>
                    <w:top w:val="single" w:sz="4" w:space="0" w:color="000000"/>
                    <w:left w:val="single" w:sz="4" w:space="0" w:color="000000"/>
                    <w:bottom w:val="single" w:sz="4" w:space="0" w:color="000000"/>
                    <w:right w:val="single" w:sz="4" w:space="0" w:color="000000"/>
                  </w:tcBorders>
                  <w:shd w:val="clear" w:color="auto" w:fill="D9D9D9"/>
                </w:tcPr>
                <w:p w14:paraId="145CA3AF" w14:textId="77777777" w:rsidR="00D81D2F" w:rsidRDefault="00D81D2F" w:rsidP="00D81D2F">
                  <w:pPr>
                    <w:pStyle w:val="TableParagraph"/>
                    <w:kinsoku w:val="0"/>
                    <w:overflowPunct w:val="0"/>
                    <w:rPr>
                      <w:rFonts w:ascii="Times New Roman" w:hAnsi="Times New Roman" w:cs="Times New Roman"/>
                    </w:rPr>
                  </w:pPr>
                  <w:r>
                    <w:rPr>
                      <w:b/>
                      <w:bCs/>
                      <w:sz w:val="20"/>
                      <w:szCs w:val="20"/>
                    </w:rPr>
                    <w:t>Load Shape</w:t>
                  </w:r>
                </w:p>
              </w:tc>
              <w:tc>
                <w:tcPr>
                  <w:tcW w:w="1952" w:type="dxa"/>
                  <w:tcBorders>
                    <w:top w:val="single" w:sz="4" w:space="0" w:color="000000"/>
                    <w:left w:val="single" w:sz="4" w:space="0" w:color="000000"/>
                    <w:bottom w:val="single" w:sz="4" w:space="0" w:color="000000"/>
                    <w:right w:val="single" w:sz="4" w:space="0" w:color="000000"/>
                  </w:tcBorders>
                  <w:shd w:val="clear" w:color="auto" w:fill="D9D9D9"/>
                </w:tcPr>
                <w:p w14:paraId="4100209B" w14:textId="77777777" w:rsidR="00D81D2F" w:rsidRDefault="00D81D2F" w:rsidP="00D81D2F">
                  <w:pPr>
                    <w:pStyle w:val="TableParagraph"/>
                    <w:kinsoku w:val="0"/>
                    <w:overflowPunct w:val="0"/>
                    <w:rPr>
                      <w:rFonts w:ascii="Times New Roman" w:hAnsi="Times New Roman" w:cs="Times New Roman"/>
                    </w:rPr>
                  </w:pPr>
                  <w:r>
                    <w:rPr>
                      <w:b/>
                      <w:bCs/>
                      <w:sz w:val="20"/>
                      <w:szCs w:val="20"/>
                    </w:rPr>
                    <w:t>E3 Alternate Building Type</w:t>
                  </w:r>
                </w:p>
              </w:tc>
            </w:tr>
            <w:tr w:rsidR="00D81D2F" w14:paraId="706CDB6A" w14:textId="77777777" w:rsidTr="00811294">
              <w:trPr>
                <w:trHeight w:hRule="exact" w:val="254"/>
              </w:trPr>
              <w:tc>
                <w:tcPr>
                  <w:tcW w:w="2382" w:type="dxa"/>
                  <w:tcBorders>
                    <w:top w:val="single" w:sz="4" w:space="0" w:color="000000"/>
                    <w:left w:val="single" w:sz="4" w:space="0" w:color="000000"/>
                    <w:bottom w:val="single" w:sz="4" w:space="0" w:color="000000"/>
                    <w:right w:val="single" w:sz="4" w:space="0" w:color="000000"/>
                  </w:tcBorders>
                </w:tcPr>
                <w:p w14:paraId="4F9A6D1C" w14:textId="77777777" w:rsidR="00D81D2F" w:rsidRDefault="00D81D2F" w:rsidP="00D81D2F">
                  <w:pPr>
                    <w:pStyle w:val="TableParagraph"/>
                    <w:kinsoku w:val="0"/>
                    <w:overflowPunct w:val="0"/>
                    <w:rPr>
                      <w:rFonts w:ascii="Times New Roman" w:hAnsi="Times New Roman" w:cs="Times New Roman"/>
                    </w:rPr>
                  </w:pPr>
                  <w:r>
                    <w:rPr>
                      <w:sz w:val="20"/>
                      <w:szCs w:val="20"/>
                    </w:rPr>
                    <w:t>Education - University</w:t>
                  </w:r>
                </w:p>
              </w:tc>
              <w:tc>
                <w:tcPr>
                  <w:tcW w:w="1857" w:type="dxa"/>
                  <w:tcBorders>
                    <w:top w:val="single" w:sz="4" w:space="0" w:color="000000"/>
                    <w:left w:val="single" w:sz="4" w:space="0" w:color="000000"/>
                    <w:bottom w:val="single" w:sz="4" w:space="0" w:color="000000"/>
                    <w:right w:val="single" w:sz="4" w:space="0" w:color="000000"/>
                  </w:tcBorders>
                </w:tcPr>
                <w:p w14:paraId="7258AE86" w14:textId="07749148" w:rsidR="00D81D2F" w:rsidRDefault="00D81D2F" w:rsidP="00D81D2F">
                  <w:pPr>
                    <w:pStyle w:val="TableParagraph"/>
                    <w:kinsoku w:val="0"/>
                    <w:overflowPunct w:val="0"/>
                    <w:rPr>
                      <w:rFonts w:ascii="Times New Roman" w:hAnsi="Times New Roman" w:cs="Times New Roman"/>
                    </w:rPr>
                  </w:pPr>
                </w:p>
              </w:tc>
              <w:tc>
                <w:tcPr>
                  <w:tcW w:w="1952" w:type="dxa"/>
                  <w:tcBorders>
                    <w:top w:val="single" w:sz="4" w:space="0" w:color="000000"/>
                    <w:left w:val="single" w:sz="4" w:space="0" w:color="000000"/>
                    <w:bottom w:val="single" w:sz="4" w:space="0" w:color="000000"/>
                    <w:right w:val="single" w:sz="4" w:space="0" w:color="000000"/>
                  </w:tcBorders>
                </w:tcPr>
                <w:p w14:paraId="4F2C4556" w14:textId="77777777" w:rsidR="00D81D2F" w:rsidRDefault="00D81D2F" w:rsidP="00D81D2F">
                  <w:pPr>
                    <w:pStyle w:val="TableParagraph"/>
                    <w:kinsoku w:val="0"/>
                    <w:overflowPunct w:val="0"/>
                    <w:rPr>
                      <w:rFonts w:ascii="Times New Roman" w:hAnsi="Times New Roman" w:cs="Times New Roman"/>
                    </w:rPr>
                  </w:pPr>
                  <w:r>
                    <w:rPr>
                      <w:sz w:val="20"/>
                      <w:szCs w:val="20"/>
                    </w:rPr>
                    <w:t>COMMERCIAL</w:t>
                  </w:r>
                </w:p>
              </w:tc>
            </w:tr>
            <w:tr w:rsidR="00D81D2F" w14:paraId="1108C087" w14:textId="77777777" w:rsidTr="00811294">
              <w:trPr>
                <w:trHeight w:hRule="exact" w:val="254"/>
              </w:trPr>
              <w:tc>
                <w:tcPr>
                  <w:tcW w:w="2382" w:type="dxa"/>
                  <w:tcBorders>
                    <w:top w:val="single" w:sz="4" w:space="0" w:color="000000"/>
                    <w:left w:val="single" w:sz="4" w:space="0" w:color="000000"/>
                    <w:bottom w:val="single" w:sz="4" w:space="0" w:color="000000"/>
                    <w:right w:val="single" w:sz="4" w:space="0" w:color="000000"/>
                  </w:tcBorders>
                </w:tcPr>
                <w:p w14:paraId="1B2A7649" w14:textId="77777777" w:rsidR="00D81D2F" w:rsidRDefault="00D81D2F" w:rsidP="00D81D2F">
                  <w:pPr>
                    <w:pStyle w:val="TableParagraph"/>
                    <w:kinsoku w:val="0"/>
                    <w:overflowPunct w:val="0"/>
                    <w:rPr>
                      <w:rFonts w:ascii="Times New Roman" w:hAnsi="Times New Roman" w:cs="Times New Roman"/>
                    </w:rPr>
                  </w:pPr>
                  <w:r>
                    <w:rPr>
                      <w:sz w:val="20"/>
                      <w:szCs w:val="20"/>
                    </w:rPr>
                    <w:t>Health/Medical - Hospital</w:t>
                  </w:r>
                </w:p>
              </w:tc>
              <w:tc>
                <w:tcPr>
                  <w:tcW w:w="1857" w:type="dxa"/>
                  <w:tcBorders>
                    <w:top w:val="single" w:sz="4" w:space="0" w:color="000000"/>
                    <w:left w:val="single" w:sz="4" w:space="0" w:color="000000"/>
                    <w:bottom w:val="single" w:sz="4" w:space="0" w:color="000000"/>
                    <w:right w:val="single" w:sz="4" w:space="0" w:color="000000"/>
                  </w:tcBorders>
                </w:tcPr>
                <w:p w14:paraId="47087CE6" w14:textId="1DF632F4" w:rsidR="00D81D2F" w:rsidRDefault="00D81D2F" w:rsidP="00D81D2F">
                  <w:pPr>
                    <w:pStyle w:val="TableParagraph"/>
                    <w:kinsoku w:val="0"/>
                    <w:overflowPunct w:val="0"/>
                    <w:rPr>
                      <w:rFonts w:ascii="Times New Roman" w:hAnsi="Times New Roman" w:cs="Times New Roman"/>
                    </w:rPr>
                  </w:pPr>
                </w:p>
              </w:tc>
              <w:tc>
                <w:tcPr>
                  <w:tcW w:w="1952" w:type="dxa"/>
                  <w:tcBorders>
                    <w:top w:val="single" w:sz="4" w:space="0" w:color="000000"/>
                    <w:left w:val="single" w:sz="4" w:space="0" w:color="000000"/>
                    <w:bottom w:val="single" w:sz="4" w:space="0" w:color="000000"/>
                    <w:right w:val="single" w:sz="4" w:space="0" w:color="000000"/>
                  </w:tcBorders>
                </w:tcPr>
                <w:p w14:paraId="2BAC6E1B" w14:textId="77777777" w:rsidR="00D81D2F" w:rsidRDefault="00D81D2F" w:rsidP="00D81D2F">
                  <w:pPr>
                    <w:pStyle w:val="TableParagraph"/>
                    <w:kinsoku w:val="0"/>
                    <w:overflowPunct w:val="0"/>
                    <w:rPr>
                      <w:rFonts w:ascii="Times New Roman" w:hAnsi="Times New Roman" w:cs="Times New Roman"/>
                    </w:rPr>
                  </w:pPr>
                  <w:r>
                    <w:rPr>
                      <w:sz w:val="20"/>
                      <w:szCs w:val="20"/>
                    </w:rPr>
                    <w:t>COMMERCIAL</w:t>
                  </w:r>
                </w:p>
              </w:tc>
            </w:tr>
            <w:tr w:rsidR="006B0851" w14:paraId="64093636" w14:textId="77777777" w:rsidTr="006B0851">
              <w:trPr>
                <w:trHeight w:hRule="exact" w:val="254"/>
              </w:trPr>
              <w:tc>
                <w:tcPr>
                  <w:tcW w:w="2382" w:type="dxa"/>
                  <w:tcBorders>
                    <w:top w:val="single" w:sz="4" w:space="0" w:color="000000"/>
                    <w:left w:val="single" w:sz="4" w:space="0" w:color="000000"/>
                    <w:bottom w:val="single" w:sz="4" w:space="0" w:color="000000"/>
                    <w:right w:val="single" w:sz="4" w:space="0" w:color="000000"/>
                  </w:tcBorders>
                </w:tcPr>
                <w:p w14:paraId="060BF7C2" w14:textId="57745B8E" w:rsidR="006B0851" w:rsidRDefault="006B0851" w:rsidP="006B0851">
                  <w:pPr>
                    <w:pStyle w:val="TableParagraph"/>
                    <w:kinsoku w:val="0"/>
                    <w:overflowPunct w:val="0"/>
                    <w:rPr>
                      <w:sz w:val="20"/>
                      <w:szCs w:val="20"/>
                    </w:rPr>
                  </w:pPr>
                  <w:r>
                    <w:rPr>
                      <w:sz w:val="20"/>
                      <w:szCs w:val="20"/>
                    </w:rPr>
                    <w:t>Health/Medical – Nursing NursHospital</w:t>
                  </w:r>
                </w:p>
              </w:tc>
              <w:tc>
                <w:tcPr>
                  <w:tcW w:w="1857" w:type="dxa"/>
                  <w:tcBorders>
                    <w:top w:val="single" w:sz="4" w:space="0" w:color="000000"/>
                    <w:left w:val="single" w:sz="4" w:space="0" w:color="000000"/>
                    <w:bottom w:val="single" w:sz="4" w:space="0" w:color="000000"/>
                    <w:right w:val="single" w:sz="4" w:space="0" w:color="000000"/>
                  </w:tcBorders>
                </w:tcPr>
                <w:p w14:paraId="142C92F0" w14:textId="7170B5DA" w:rsidR="006B0851" w:rsidRDefault="006B0851" w:rsidP="006B0851">
                  <w:pPr>
                    <w:pStyle w:val="TableParagraph"/>
                    <w:kinsoku w:val="0"/>
                    <w:overflowPunct w:val="0"/>
                    <w:rPr>
                      <w:sz w:val="20"/>
                      <w:szCs w:val="20"/>
                    </w:rPr>
                  </w:pPr>
                </w:p>
              </w:tc>
              <w:tc>
                <w:tcPr>
                  <w:tcW w:w="1952" w:type="dxa"/>
                  <w:tcBorders>
                    <w:top w:val="single" w:sz="4" w:space="0" w:color="000000"/>
                    <w:left w:val="single" w:sz="4" w:space="0" w:color="000000"/>
                    <w:bottom w:val="single" w:sz="4" w:space="0" w:color="000000"/>
                    <w:right w:val="single" w:sz="4" w:space="0" w:color="000000"/>
                  </w:tcBorders>
                </w:tcPr>
                <w:p w14:paraId="0D0DC347" w14:textId="20DC838E" w:rsidR="006B0851" w:rsidRDefault="006B0851" w:rsidP="006B0851">
                  <w:pPr>
                    <w:pStyle w:val="TableParagraph"/>
                    <w:kinsoku w:val="0"/>
                    <w:overflowPunct w:val="0"/>
                    <w:rPr>
                      <w:sz w:val="20"/>
                      <w:szCs w:val="20"/>
                    </w:rPr>
                  </w:pPr>
                  <w:r>
                    <w:rPr>
                      <w:sz w:val="20"/>
                      <w:szCs w:val="20"/>
                    </w:rPr>
                    <w:t>COMMERCIAL</w:t>
                  </w:r>
                </w:p>
              </w:tc>
            </w:tr>
            <w:tr w:rsidR="006B0851" w14:paraId="113EDFCC" w14:textId="77777777" w:rsidTr="00811294">
              <w:trPr>
                <w:trHeight w:hRule="exact" w:val="254"/>
              </w:trPr>
              <w:tc>
                <w:tcPr>
                  <w:tcW w:w="2382" w:type="dxa"/>
                  <w:tcBorders>
                    <w:top w:val="single" w:sz="4" w:space="0" w:color="000000"/>
                    <w:left w:val="single" w:sz="4" w:space="0" w:color="000000"/>
                    <w:bottom w:val="single" w:sz="4" w:space="0" w:color="000000"/>
                    <w:right w:val="single" w:sz="4" w:space="0" w:color="000000"/>
                  </w:tcBorders>
                </w:tcPr>
                <w:p w14:paraId="17CEAFCC" w14:textId="77777777" w:rsidR="006B0851" w:rsidRDefault="006B0851" w:rsidP="006B0851">
                  <w:pPr>
                    <w:pStyle w:val="TableParagraph"/>
                    <w:kinsoku w:val="0"/>
                    <w:overflowPunct w:val="0"/>
                    <w:rPr>
                      <w:rFonts w:ascii="Times New Roman" w:hAnsi="Times New Roman" w:cs="Times New Roman"/>
                    </w:rPr>
                  </w:pPr>
                  <w:r>
                    <w:rPr>
                      <w:sz w:val="20"/>
                      <w:szCs w:val="20"/>
                    </w:rPr>
                    <w:t>Manufacturing Biotech</w:t>
                  </w:r>
                </w:p>
              </w:tc>
              <w:tc>
                <w:tcPr>
                  <w:tcW w:w="1857" w:type="dxa"/>
                  <w:tcBorders>
                    <w:top w:val="single" w:sz="4" w:space="0" w:color="000000"/>
                    <w:left w:val="single" w:sz="4" w:space="0" w:color="000000"/>
                    <w:bottom w:val="single" w:sz="4" w:space="0" w:color="000000"/>
                    <w:right w:val="single" w:sz="4" w:space="0" w:color="000000"/>
                  </w:tcBorders>
                </w:tcPr>
                <w:p w14:paraId="6F3AD3CA" w14:textId="090D6C2C" w:rsidR="006B0851" w:rsidRDefault="006B0851" w:rsidP="006B0851">
                  <w:pPr>
                    <w:pStyle w:val="TableParagraph"/>
                    <w:kinsoku w:val="0"/>
                    <w:overflowPunct w:val="0"/>
                    <w:rPr>
                      <w:rFonts w:ascii="Times New Roman" w:hAnsi="Times New Roman" w:cs="Times New Roman"/>
                    </w:rPr>
                  </w:pPr>
                </w:p>
              </w:tc>
              <w:tc>
                <w:tcPr>
                  <w:tcW w:w="1952" w:type="dxa"/>
                  <w:tcBorders>
                    <w:top w:val="single" w:sz="4" w:space="0" w:color="000000"/>
                    <w:left w:val="single" w:sz="4" w:space="0" w:color="000000"/>
                    <w:bottom w:val="single" w:sz="4" w:space="0" w:color="000000"/>
                    <w:right w:val="single" w:sz="4" w:space="0" w:color="000000"/>
                  </w:tcBorders>
                </w:tcPr>
                <w:p w14:paraId="3EDBCC71" w14:textId="77777777" w:rsidR="006B0851" w:rsidRDefault="006B0851" w:rsidP="006B0851">
                  <w:pPr>
                    <w:pStyle w:val="TableParagraph"/>
                    <w:kinsoku w:val="0"/>
                    <w:overflowPunct w:val="0"/>
                    <w:rPr>
                      <w:rFonts w:ascii="Times New Roman" w:hAnsi="Times New Roman" w:cs="Times New Roman"/>
                    </w:rPr>
                  </w:pPr>
                  <w:r>
                    <w:rPr>
                      <w:sz w:val="20"/>
                      <w:szCs w:val="20"/>
                    </w:rPr>
                    <w:t>INDUSTRIAL</w:t>
                  </w:r>
                </w:p>
              </w:tc>
            </w:tr>
            <w:tr w:rsidR="006B0851" w14:paraId="2E8BB3C0" w14:textId="77777777" w:rsidTr="00811294">
              <w:trPr>
                <w:trHeight w:hRule="exact" w:val="254"/>
              </w:trPr>
              <w:tc>
                <w:tcPr>
                  <w:tcW w:w="2382" w:type="dxa"/>
                  <w:tcBorders>
                    <w:top w:val="single" w:sz="4" w:space="0" w:color="000000"/>
                    <w:left w:val="single" w:sz="4" w:space="0" w:color="000000"/>
                    <w:bottom w:val="single" w:sz="4" w:space="0" w:color="000000"/>
                    <w:right w:val="single" w:sz="4" w:space="0" w:color="000000"/>
                  </w:tcBorders>
                </w:tcPr>
                <w:p w14:paraId="341C594C" w14:textId="77777777" w:rsidR="006B0851" w:rsidRDefault="006B0851" w:rsidP="006B0851">
                  <w:pPr>
                    <w:pStyle w:val="TableParagraph"/>
                    <w:kinsoku w:val="0"/>
                    <w:overflowPunct w:val="0"/>
                    <w:rPr>
                      <w:rFonts w:ascii="Times New Roman" w:hAnsi="Times New Roman" w:cs="Times New Roman"/>
                    </w:rPr>
                  </w:pPr>
                  <w:r>
                    <w:rPr>
                      <w:sz w:val="20"/>
                      <w:szCs w:val="20"/>
                    </w:rPr>
                    <w:t>Manufacturing Pharmaceutical</w:t>
                  </w:r>
                </w:p>
              </w:tc>
              <w:tc>
                <w:tcPr>
                  <w:tcW w:w="1857" w:type="dxa"/>
                  <w:tcBorders>
                    <w:top w:val="single" w:sz="4" w:space="0" w:color="000000"/>
                    <w:left w:val="single" w:sz="4" w:space="0" w:color="000000"/>
                    <w:bottom w:val="single" w:sz="4" w:space="0" w:color="000000"/>
                    <w:right w:val="single" w:sz="4" w:space="0" w:color="000000"/>
                  </w:tcBorders>
                </w:tcPr>
                <w:p w14:paraId="3E9A7753" w14:textId="62FB89EE" w:rsidR="006B0851" w:rsidRDefault="006B0851" w:rsidP="006B0851">
                  <w:pPr>
                    <w:pStyle w:val="TableParagraph"/>
                    <w:kinsoku w:val="0"/>
                    <w:overflowPunct w:val="0"/>
                    <w:rPr>
                      <w:rFonts w:ascii="Times New Roman" w:hAnsi="Times New Roman" w:cs="Times New Roman"/>
                    </w:rPr>
                  </w:pPr>
                </w:p>
              </w:tc>
              <w:tc>
                <w:tcPr>
                  <w:tcW w:w="1952" w:type="dxa"/>
                  <w:tcBorders>
                    <w:top w:val="single" w:sz="4" w:space="0" w:color="000000"/>
                    <w:left w:val="single" w:sz="4" w:space="0" w:color="000000"/>
                    <w:bottom w:val="single" w:sz="4" w:space="0" w:color="000000"/>
                    <w:right w:val="single" w:sz="4" w:space="0" w:color="000000"/>
                  </w:tcBorders>
                </w:tcPr>
                <w:p w14:paraId="46E08644" w14:textId="77777777" w:rsidR="006B0851" w:rsidRDefault="006B0851" w:rsidP="006B0851">
                  <w:pPr>
                    <w:pStyle w:val="TableParagraph"/>
                    <w:kinsoku w:val="0"/>
                    <w:overflowPunct w:val="0"/>
                    <w:rPr>
                      <w:rFonts w:ascii="Times New Roman" w:hAnsi="Times New Roman" w:cs="Times New Roman"/>
                    </w:rPr>
                  </w:pPr>
                  <w:r>
                    <w:rPr>
                      <w:sz w:val="20"/>
                      <w:szCs w:val="20"/>
                    </w:rPr>
                    <w:t>INDUSTRIAL</w:t>
                  </w:r>
                </w:p>
              </w:tc>
            </w:tr>
          </w:tbl>
          <w:p w14:paraId="57EBD3D9" w14:textId="77777777" w:rsidR="006014D0" w:rsidRDefault="00D81D2F" w:rsidP="005B2619">
            <w:pPr>
              <w:rPr>
                <w:rFonts w:cs="Arial"/>
                <w:sz w:val="20"/>
                <w:szCs w:val="20"/>
              </w:rPr>
            </w:pPr>
            <w:r w:rsidRPr="006527B1">
              <w:rPr>
                <w:rFonts w:cs="Arial"/>
                <w:sz w:val="20"/>
                <w:szCs w:val="20"/>
              </w:rPr>
              <w:t xml:space="preserve"> </w:t>
            </w:r>
          </w:p>
          <w:p w14:paraId="13121A2E" w14:textId="0C2ACA43" w:rsidR="006014D0" w:rsidRDefault="006014D0" w:rsidP="005B2619">
            <w:pPr>
              <w:rPr>
                <w:rFonts w:cs="Arial"/>
                <w:sz w:val="20"/>
                <w:szCs w:val="20"/>
              </w:rPr>
            </w:pPr>
            <w:r>
              <w:rPr>
                <w:rFonts w:cs="Arial"/>
                <w:sz w:val="20"/>
                <w:szCs w:val="20"/>
              </w:rPr>
              <w:t xml:space="preserve">DEER building Types: EUn, </w:t>
            </w:r>
            <w:r w:rsidR="006B0851">
              <w:rPr>
                <w:rFonts w:cs="Arial"/>
                <w:sz w:val="20"/>
                <w:szCs w:val="20"/>
              </w:rPr>
              <w:t>Hsp, MBT, MLI, and Nrs</w:t>
            </w:r>
          </w:p>
          <w:p w14:paraId="0EB8834E" w14:textId="45961AD2" w:rsidR="006B0851" w:rsidRDefault="006B0851" w:rsidP="005B2619">
            <w:pPr>
              <w:rPr>
                <w:rFonts w:cs="Arial"/>
                <w:sz w:val="20"/>
                <w:szCs w:val="20"/>
              </w:rPr>
            </w:pPr>
            <w:r>
              <w:rPr>
                <w:rFonts w:cs="Arial"/>
                <w:sz w:val="20"/>
                <w:szCs w:val="20"/>
              </w:rPr>
              <w:t xml:space="preserve">ElecImpProfile: </w:t>
            </w:r>
            <w:r w:rsidRPr="006B0851">
              <w:rPr>
                <w:rFonts w:cs="Arial"/>
                <w:sz w:val="20"/>
                <w:szCs w:val="20"/>
              </w:rPr>
              <w:t>SDG</w:t>
            </w:r>
            <w:r>
              <w:rPr>
                <w:rFonts w:cs="Arial"/>
                <w:sz w:val="20"/>
                <w:szCs w:val="20"/>
              </w:rPr>
              <w:t>E</w:t>
            </w:r>
            <w:r w:rsidRPr="006B0851">
              <w:rPr>
                <w:rFonts w:cs="Arial"/>
                <w:sz w:val="20"/>
                <w:szCs w:val="20"/>
              </w:rPr>
              <w:t>:RES:DEER:RefgFrzr_HighEff</w:t>
            </w:r>
          </w:p>
          <w:p w14:paraId="4BAC5F75" w14:textId="7FCDBE7F" w:rsidR="006B0851" w:rsidRPr="006527B1" w:rsidRDefault="006B0851" w:rsidP="005B2619">
            <w:pPr>
              <w:rPr>
                <w:rFonts w:cs="Arial"/>
                <w:sz w:val="20"/>
                <w:szCs w:val="20"/>
              </w:rPr>
            </w:pPr>
          </w:p>
        </w:tc>
      </w:tr>
      <w:tr w:rsidR="00CB11C9" w:rsidRPr="006527B1" w14:paraId="3A96E54E" w14:textId="77777777" w:rsidTr="00055713">
        <w:trPr>
          <w:trHeight w:val="115"/>
        </w:trPr>
        <w:tc>
          <w:tcPr>
            <w:tcW w:w="2831" w:type="dxa"/>
            <w:vAlign w:val="center"/>
          </w:tcPr>
          <w:p w14:paraId="051AD34B" w14:textId="77777777" w:rsidR="00CB11C9" w:rsidRPr="004A6977" w:rsidRDefault="00CB11C9" w:rsidP="00D81D2F">
            <w:pPr>
              <w:rPr>
                <w:b/>
                <w:szCs w:val="22"/>
              </w:rPr>
            </w:pPr>
            <w:r w:rsidRPr="004A6977">
              <w:rPr>
                <w:b/>
                <w:szCs w:val="22"/>
              </w:rPr>
              <w:t>Section 4. Costs</w:t>
            </w:r>
          </w:p>
        </w:tc>
        <w:tc>
          <w:tcPr>
            <w:tcW w:w="6756" w:type="dxa"/>
          </w:tcPr>
          <w:p w14:paraId="71288583" w14:textId="255B5CB2" w:rsidR="00CB11C9" w:rsidRPr="006527B1" w:rsidRDefault="00CB11C9" w:rsidP="005B2619">
            <w:pPr>
              <w:rPr>
                <w:rFonts w:cs="Arial"/>
                <w:sz w:val="20"/>
                <w:szCs w:val="20"/>
              </w:rPr>
            </w:pPr>
          </w:p>
        </w:tc>
      </w:tr>
      <w:tr w:rsidR="0025623A" w:rsidRPr="006527B1" w14:paraId="4B6B250C" w14:textId="77777777" w:rsidTr="00055713">
        <w:trPr>
          <w:trHeight w:val="115"/>
        </w:trPr>
        <w:tc>
          <w:tcPr>
            <w:tcW w:w="2831" w:type="dxa"/>
            <w:vAlign w:val="center"/>
          </w:tcPr>
          <w:p w14:paraId="37188EA2" w14:textId="09000B41" w:rsidR="0025623A" w:rsidRPr="006527B1" w:rsidRDefault="0025623A" w:rsidP="00D81D2F">
            <w:pPr>
              <w:rPr>
                <w:sz w:val="20"/>
                <w:szCs w:val="20"/>
              </w:rPr>
            </w:pPr>
            <w:r w:rsidRPr="006527B1">
              <w:rPr>
                <w:sz w:val="20"/>
                <w:szCs w:val="20"/>
              </w:rPr>
              <w:t xml:space="preserve">Units </w:t>
            </w:r>
          </w:p>
        </w:tc>
        <w:tc>
          <w:tcPr>
            <w:tcW w:w="6756" w:type="dxa"/>
          </w:tcPr>
          <w:p w14:paraId="44249B6B" w14:textId="11B94356" w:rsidR="0025623A" w:rsidRPr="006527B1" w:rsidRDefault="0025623A" w:rsidP="005B2619">
            <w:pPr>
              <w:rPr>
                <w:rFonts w:cs="Arial"/>
                <w:sz w:val="20"/>
                <w:szCs w:val="20"/>
              </w:rPr>
            </w:pPr>
            <w:r w:rsidRPr="006527B1">
              <w:rPr>
                <w:rFonts w:cs="Arial"/>
                <w:sz w:val="20"/>
                <w:szCs w:val="20"/>
              </w:rPr>
              <w:t>Per Controller (each)</w:t>
            </w:r>
          </w:p>
        </w:tc>
      </w:tr>
      <w:tr w:rsidR="00CB11C9" w:rsidRPr="006527B1" w14:paraId="26BD96F6" w14:textId="77777777" w:rsidTr="00055713">
        <w:trPr>
          <w:trHeight w:val="115"/>
        </w:trPr>
        <w:tc>
          <w:tcPr>
            <w:tcW w:w="2831" w:type="dxa"/>
          </w:tcPr>
          <w:p w14:paraId="2B8DDA0C" w14:textId="77777777" w:rsidR="008D0093" w:rsidRDefault="008D0093" w:rsidP="00D81D2F">
            <w:pPr>
              <w:rPr>
                <w:sz w:val="20"/>
                <w:szCs w:val="20"/>
              </w:rPr>
            </w:pPr>
          </w:p>
          <w:p w14:paraId="49E7BEC5" w14:textId="0E88A77B" w:rsidR="00CB11C9" w:rsidRPr="006527B1" w:rsidRDefault="00CB11C9" w:rsidP="00D81D2F">
            <w:pPr>
              <w:rPr>
                <w:sz w:val="20"/>
                <w:szCs w:val="20"/>
              </w:rPr>
            </w:pPr>
            <w:r w:rsidRPr="006527B1">
              <w:rPr>
                <w:sz w:val="20"/>
                <w:szCs w:val="20"/>
              </w:rPr>
              <w:t xml:space="preserve">Base Cost – Measure </w:t>
            </w:r>
            <w:r w:rsidR="00136EEC" w:rsidRPr="006527B1">
              <w:rPr>
                <w:sz w:val="20"/>
                <w:szCs w:val="20"/>
              </w:rPr>
              <w:t>4</w:t>
            </w:r>
          </w:p>
        </w:tc>
        <w:tc>
          <w:tcPr>
            <w:tcW w:w="6756" w:type="dxa"/>
          </w:tcPr>
          <w:tbl>
            <w:tblPr>
              <w:tblW w:w="0" w:type="auto"/>
              <w:tblInd w:w="325" w:type="dxa"/>
              <w:tblCellMar>
                <w:left w:w="0" w:type="dxa"/>
                <w:right w:w="0" w:type="dxa"/>
              </w:tblCellMar>
              <w:tblLook w:val="0000" w:firstRow="0" w:lastRow="0" w:firstColumn="0" w:lastColumn="0" w:noHBand="0" w:noVBand="0"/>
            </w:tblPr>
            <w:tblGrid>
              <w:gridCol w:w="1170"/>
              <w:gridCol w:w="1080"/>
              <w:gridCol w:w="1710"/>
              <w:gridCol w:w="2009"/>
            </w:tblGrid>
            <w:tr w:rsidR="00502543" w:rsidRPr="00AD09C9" w14:paraId="29E0BEFB" w14:textId="77777777" w:rsidTr="00811294">
              <w:trPr>
                <w:trHeight w:hRule="exact" w:val="288"/>
              </w:trPr>
              <w:tc>
                <w:tcPr>
                  <w:tcW w:w="2250" w:type="dxa"/>
                  <w:gridSpan w:val="2"/>
                  <w:tcBorders>
                    <w:top w:val="none" w:sz="6" w:space="0" w:color="auto"/>
                    <w:left w:val="single" w:sz="4" w:space="0" w:color="000000"/>
                    <w:bottom w:val="single" w:sz="4" w:space="0" w:color="000000"/>
                    <w:right w:val="single" w:sz="4" w:space="0" w:color="000000"/>
                  </w:tcBorders>
                  <w:shd w:val="clear" w:color="auto" w:fill="D9D9D9"/>
                </w:tcPr>
                <w:p w14:paraId="3DE77A69" w14:textId="6494C5C7" w:rsidR="00502543" w:rsidRDefault="00502543" w:rsidP="00AD09C9">
                  <w:pPr>
                    <w:kinsoku w:val="0"/>
                    <w:overflowPunct w:val="0"/>
                    <w:autoSpaceDE w:val="0"/>
                    <w:autoSpaceDN w:val="0"/>
                    <w:adjustRightInd w:val="0"/>
                    <w:spacing w:line="211" w:lineRule="exact"/>
                    <w:ind w:left="103"/>
                    <w:jc w:val="center"/>
                    <w:rPr>
                      <w:rFonts w:ascii="Calibri" w:eastAsiaTheme="minorHAnsi" w:hAnsi="Calibri" w:cs="Calibri"/>
                      <w:b/>
                      <w:bCs/>
                      <w:sz w:val="20"/>
                      <w:szCs w:val="20"/>
                    </w:rPr>
                  </w:pPr>
                  <w:r>
                    <w:rPr>
                      <w:rFonts w:ascii="Calibri" w:eastAsiaTheme="minorHAnsi" w:hAnsi="Calibri" w:cs="Calibri"/>
                      <w:b/>
                      <w:bCs/>
                      <w:sz w:val="20"/>
                      <w:szCs w:val="20"/>
                    </w:rPr>
                    <w:t>Measure Code</w:t>
                  </w:r>
                </w:p>
              </w:tc>
              <w:tc>
                <w:tcPr>
                  <w:tcW w:w="3719" w:type="dxa"/>
                  <w:gridSpan w:val="2"/>
                  <w:tcBorders>
                    <w:top w:val="none" w:sz="6" w:space="0" w:color="auto"/>
                    <w:left w:val="single" w:sz="4" w:space="0" w:color="000000"/>
                    <w:bottom w:val="single" w:sz="4" w:space="0" w:color="000000"/>
                    <w:right w:val="single" w:sz="4" w:space="0" w:color="000000"/>
                  </w:tcBorders>
                  <w:shd w:val="clear" w:color="auto" w:fill="D9D9D9"/>
                </w:tcPr>
                <w:p w14:paraId="383023F8" w14:textId="1C25DB7F" w:rsidR="00502543" w:rsidRPr="00AD09C9" w:rsidRDefault="00C70FD3" w:rsidP="00AD09C9">
                  <w:pPr>
                    <w:kinsoku w:val="0"/>
                    <w:overflowPunct w:val="0"/>
                    <w:autoSpaceDE w:val="0"/>
                    <w:autoSpaceDN w:val="0"/>
                    <w:adjustRightInd w:val="0"/>
                    <w:spacing w:line="211" w:lineRule="exact"/>
                    <w:ind w:left="103"/>
                    <w:jc w:val="center"/>
                    <w:rPr>
                      <w:rFonts w:ascii="Calibri" w:eastAsiaTheme="minorHAnsi" w:hAnsi="Calibri" w:cs="Calibri"/>
                      <w:b/>
                      <w:bCs/>
                      <w:sz w:val="20"/>
                      <w:szCs w:val="20"/>
                    </w:rPr>
                  </w:pPr>
                  <w:r>
                    <w:rPr>
                      <w:rFonts w:ascii="Calibri" w:eastAsiaTheme="minorHAnsi" w:hAnsi="Calibri" w:cs="Calibri"/>
                      <w:b/>
                      <w:bCs/>
                      <w:sz w:val="20"/>
                      <w:szCs w:val="20"/>
                    </w:rPr>
                    <w:t xml:space="preserve">Base </w:t>
                  </w:r>
                  <w:r w:rsidR="00502543">
                    <w:rPr>
                      <w:rFonts w:ascii="Calibri" w:eastAsiaTheme="minorHAnsi" w:hAnsi="Calibri" w:cs="Calibri"/>
                      <w:b/>
                      <w:bCs/>
                      <w:sz w:val="20"/>
                      <w:szCs w:val="20"/>
                    </w:rPr>
                    <w:t>Description Cost</w:t>
                  </w:r>
                </w:p>
              </w:tc>
            </w:tr>
            <w:tr w:rsidR="00502543" w:rsidRPr="00AD09C9" w14:paraId="636E05B8" w14:textId="77777777" w:rsidTr="00811294">
              <w:trPr>
                <w:trHeight w:hRule="exact" w:val="720"/>
              </w:trPr>
              <w:tc>
                <w:tcPr>
                  <w:tcW w:w="1170" w:type="dxa"/>
                  <w:tcBorders>
                    <w:top w:val="none" w:sz="6" w:space="0" w:color="auto"/>
                    <w:left w:val="single" w:sz="4" w:space="0" w:color="000000"/>
                    <w:bottom w:val="single" w:sz="4" w:space="0" w:color="000000"/>
                    <w:right w:val="single" w:sz="4" w:space="0" w:color="000000"/>
                  </w:tcBorders>
                  <w:shd w:val="clear" w:color="auto" w:fill="D9D9D9"/>
                </w:tcPr>
                <w:p w14:paraId="7AA0EBCD" w14:textId="44588D20" w:rsidR="00502543" w:rsidRDefault="00502543" w:rsidP="00AD09C9">
                  <w:pPr>
                    <w:kinsoku w:val="0"/>
                    <w:overflowPunct w:val="0"/>
                    <w:autoSpaceDE w:val="0"/>
                    <w:autoSpaceDN w:val="0"/>
                    <w:adjustRightInd w:val="0"/>
                    <w:spacing w:line="211" w:lineRule="exact"/>
                    <w:ind w:left="103"/>
                    <w:jc w:val="center"/>
                    <w:rPr>
                      <w:rFonts w:ascii="Calibri" w:eastAsiaTheme="minorHAnsi" w:hAnsi="Calibri" w:cs="Calibri"/>
                      <w:b/>
                      <w:bCs/>
                      <w:sz w:val="20"/>
                      <w:szCs w:val="20"/>
                    </w:rPr>
                  </w:pPr>
                  <w:bookmarkStart w:id="3" w:name="bookmark0"/>
                  <w:bookmarkStart w:id="4" w:name="bookmark1"/>
                  <w:bookmarkStart w:id="5" w:name="bookmark2"/>
                  <w:bookmarkStart w:id="6" w:name="bookmark3"/>
                  <w:bookmarkEnd w:id="3"/>
                  <w:bookmarkEnd w:id="4"/>
                  <w:bookmarkEnd w:id="5"/>
                  <w:bookmarkEnd w:id="6"/>
                  <w:r>
                    <w:rPr>
                      <w:rFonts w:ascii="Calibri" w:eastAsiaTheme="minorHAnsi" w:hAnsi="Calibri" w:cs="Calibri"/>
                      <w:b/>
                      <w:bCs/>
                      <w:sz w:val="20"/>
                      <w:szCs w:val="20"/>
                    </w:rPr>
                    <w:t xml:space="preserve">PGE </w:t>
                  </w:r>
                </w:p>
              </w:tc>
              <w:tc>
                <w:tcPr>
                  <w:tcW w:w="1080" w:type="dxa"/>
                  <w:tcBorders>
                    <w:top w:val="none" w:sz="6" w:space="0" w:color="auto"/>
                    <w:left w:val="single" w:sz="4" w:space="0" w:color="000000"/>
                    <w:bottom w:val="single" w:sz="4" w:space="0" w:color="000000"/>
                    <w:right w:val="single" w:sz="4" w:space="0" w:color="000000"/>
                  </w:tcBorders>
                  <w:shd w:val="clear" w:color="auto" w:fill="D9D9D9"/>
                </w:tcPr>
                <w:p w14:paraId="19635DA6" w14:textId="20FCA167" w:rsidR="00502543" w:rsidRPr="00AD09C9" w:rsidRDefault="00502543" w:rsidP="00AD09C9">
                  <w:pPr>
                    <w:kinsoku w:val="0"/>
                    <w:overflowPunct w:val="0"/>
                    <w:autoSpaceDE w:val="0"/>
                    <w:autoSpaceDN w:val="0"/>
                    <w:adjustRightInd w:val="0"/>
                    <w:spacing w:line="211" w:lineRule="exact"/>
                    <w:ind w:left="103"/>
                    <w:jc w:val="center"/>
                    <w:rPr>
                      <w:rFonts w:ascii="Calibri" w:eastAsiaTheme="minorHAnsi" w:hAnsi="Calibri" w:cs="Calibri"/>
                      <w:b/>
                      <w:bCs/>
                      <w:sz w:val="20"/>
                      <w:szCs w:val="20"/>
                    </w:rPr>
                  </w:pPr>
                  <w:r>
                    <w:rPr>
                      <w:rFonts w:ascii="Calibri" w:eastAsiaTheme="minorHAnsi" w:hAnsi="Calibri" w:cs="Calibri"/>
                      <w:b/>
                      <w:bCs/>
                      <w:sz w:val="20"/>
                      <w:szCs w:val="20"/>
                    </w:rPr>
                    <w:t>SDGE</w:t>
                  </w:r>
                </w:p>
              </w:tc>
              <w:tc>
                <w:tcPr>
                  <w:tcW w:w="1710" w:type="dxa"/>
                  <w:tcBorders>
                    <w:top w:val="none" w:sz="6" w:space="0" w:color="auto"/>
                    <w:left w:val="single" w:sz="4" w:space="0" w:color="000000"/>
                    <w:bottom w:val="single" w:sz="4" w:space="0" w:color="000000"/>
                    <w:right w:val="single" w:sz="4" w:space="0" w:color="000000"/>
                  </w:tcBorders>
                  <w:shd w:val="clear" w:color="auto" w:fill="D9D9D9"/>
                </w:tcPr>
                <w:p w14:paraId="4F360600" w14:textId="1436E7B2" w:rsidR="00502543" w:rsidRPr="00AD09C9" w:rsidRDefault="00502543" w:rsidP="00AD09C9">
                  <w:pPr>
                    <w:kinsoku w:val="0"/>
                    <w:overflowPunct w:val="0"/>
                    <w:autoSpaceDE w:val="0"/>
                    <w:autoSpaceDN w:val="0"/>
                    <w:adjustRightInd w:val="0"/>
                    <w:spacing w:line="211" w:lineRule="exact"/>
                    <w:ind w:left="103"/>
                    <w:jc w:val="center"/>
                    <w:rPr>
                      <w:rFonts w:ascii="Times New Roman" w:eastAsiaTheme="minorHAnsi" w:hAnsi="Times New Roman"/>
                      <w:sz w:val="24"/>
                    </w:rPr>
                  </w:pPr>
                  <w:r w:rsidRPr="00AD09C9">
                    <w:rPr>
                      <w:rFonts w:ascii="Calibri" w:eastAsiaTheme="minorHAnsi" w:hAnsi="Calibri" w:cs="Calibri"/>
                      <w:b/>
                      <w:bCs/>
                      <w:sz w:val="20"/>
                      <w:szCs w:val="20"/>
                    </w:rPr>
                    <w:t>ULT Freezer Size</w:t>
                  </w:r>
                </w:p>
              </w:tc>
              <w:tc>
                <w:tcPr>
                  <w:tcW w:w="2009" w:type="dxa"/>
                  <w:tcBorders>
                    <w:top w:val="none" w:sz="6" w:space="0" w:color="auto"/>
                    <w:left w:val="single" w:sz="4" w:space="0" w:color="000000"/>
                    <w:bottom w:val="single" w:sz="4" w:space="0" w:color="000000"/>
                    <w:right w:val="single" w:sz="4" w:space="0" w:color="000000"/>
                  </w:tcBorders>
                  <w:shd w:val="clear" w:color="auto" w:fill="D9D9D9"/>
                </w:tcPr>
                <w:p w14:paraId="6690FE05" w14:textId="77777777" w:rsidR="00502543" w:rsidRPr="00AD09C9" w:rsidRDefault="00502543" w:rsidP="00AD09C9">
                  <w:pPr>
                    <w:kinsoku w:val="0"/>
                    <w:overflowPunct w:val="0"/>
                    <w:autoSpaceDE w:val="0"/>
                    <w:autoSpaceDN w:val="0"/>
                    <w:adjustRightInd w:val="0"/>
                    <w:spacing w:line="211" w:lineRule="exact"/>
                    <w:ind w:left="103"/>
                    <w:jc w:val="center"/>
                    <w:rPr>
                      <w:rFonts w:ascii="Times New Roman" w:eastAsiaTheme="minorHAnsi" w:hAnsi="Times New Roman"/>
                      <w:sz w:val="24"/>
                    </w:rPr>
                  </w:pPr>
                  <w:r w:rsidRPr="00AD09C9">
                    <w:rPr>
                      <w:rFonts w:ascii="Calibri" w:eastAsiaTheme="minorHAnsi" w:hAnsi="Calibri" w:cs="Calibri"/>
                      <w:b/>
                      <w:bCs/>
                      <w:sz w:val="20"/>
                      <w:szCs w:val="20"/>
                    </w:rPr>
                    <w:t>Average Retail Price</w:t>
                  </w:r>
                </w:p>
              </w:tc>
            </w:tr>
            <w:tr w:rsidR="00502543" w:rsidRPr="00AD09C9" w14:paraId="60F500E3" w14:textId="77777777" w:rsidTr="00811294">
              <w:trPr>
                <w:trHeight w:hRule="exact" w:val="576"/>
              </w:trPr>
              <w:tc>
                <w:tcPr>
                  <w:tcW w:w="1170" w:type="dxa"/>
                  <w:tcBorders>
                    <w:top w:val="single" w:sz="4" w:space="0" w:color="000000"/>
                    <w:left w:val="single" w:sz="4" w:space="0" w:color="000000"/>
                    <w:bottom w:val="single" w:sz="4" w:space="0" w:color="000000"/>
                    <w:right w:val="single" w:sz="4" w:space="0" w:color="000000"/>
                  </w:tcBorders>
                </w:tcPr>
                <w:p w14:paraId="15A2B546" w14:textId="69363548" w:rsidR="00502543" w:rsidRDefault="00502543"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r>
                    <w:rPr>
                      <w:rFonts w:ascii="Calibri" w:eastAsiaTheme="minorHAnsi" w:hAnsi="Calibri" w:cs="Calibri"/>
                      <w:sz w:val="20"/>
                      <w:szCs w:val="20"/>
                    </w:rPr>
                    <w:t>RF006</w:t>
                  </w:r>
                </w:p>
              </w:tc>
              <w:tc>
                <w:tcPr>
                  <w:tcW w:w="1080" w:type="dxa"/>
                  <w:tcBorders>
                    <w:top w:val="single" w:sz="4" w:space="0" w:color="000000"/>
                    <w:left w:val="single" w:sz="4" w:space="0" w:color="000000"/>
                    <w:bottom w:val="single" w:sz="4" w:space="0" w:color="000000"/>
                    <w:right w:val="single" w:sz="4" w:space="0" w:color="000000"/>
                  </w:tcBorders>
                </w:tcPr>
                <w:p w14:paraId="4A4085CA" w14:textId="77777777" w:rsidR="00502543" w:rsidRDefault="00502543"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r>
                    <w:rPr>
                      <w:rFonts w:ascii="Calibri" w:eastAsiaTheme="minorHAnsi" w:hAnsi="Calibri" w:cs="Calibri"/>
                      <w:sz w:val="20"/>
                      <w:szCs w:val="20"/>
                    </w:rPr>
                    <w:t>464028</w:t>
                  </w:r>
                </w:p>
                <w:p w14:paraId="094FEF3C" w14:textId="48F24BE9" w:rsidR="00502543" w:rsidRPr="00AD09C9" w:rsidRDefault="00502543"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r>
                    <w:rPr>
                      <w:rFonts w:ascii="Calibri" w:eastAsiaTheme="minorHAnsi" w:hAnsi="Calibri" w:cs="Calibri"/>
                      <w:sz w:val="20"/>
                      <w:szCs w:val="20"/>
                    </w:rPr>
                    <w:t>464029</w:t>
                  </w:r>
                </w:p>
              </w:tc>
              <w:tc>
                <w:tcPr>
                  <w:tcW w:w="1710" w:type="dxa"/>
                  <w:tcBorders>
                    <w:top w:val="single" w:sz="4" w:space="0" w:color="000000"/>
                    <w:left w:val="single" w:sz="4" w:space="0" w:color="000000"/>
                    <w:bottom w:val="single" w:sz="4" w:space="0" w:color="000000"/>
                    <w:right w:val="single" w:sz="4" w:space="0" w:color="000000"/>
                  </w:tcBorders>
                </w:tcPr>
                <w:p w14:paraId="0EDE4002" w14:textId="351F3563" w:rsidR="00502543" w:rsidRPr="00AD09C9" w:rsidRDefault="00502543" w:rsidP="00AD09C9">
                  <w:pPr>
                    <w:kinsoku w:val="0"/>
                    <w:overflowPunct w:val="0"/>
                    <w:autoSpaceDE w:val="0"/>
                    <w:autoSpaceDN w:val="0"/>
                    <w:adjustRightInd w:val="0"/>
                    <w:spacing w:line="243" w:lineRule="exact"/>
                    <w:ind w:left="103"/>
                    <w:jc w:val="center"/>
                    <w:rPr>
                      <w:rFonts w:ascii="Times New Roman" w:eastAsiaTheme="minorHAnsi" w:hAnsi="Times New Roman"/>
                      <w:sz w:val="24"/>
                    </w:rPr>
                  </w:pPr>
                  <w:r w:rsidRPr="00AD09C9">
                    <w:rPr>
                      <w:rFonts w:ascii="Calibri" w:eastAsiaTheme="minorHAnsi" w:hAnsi="Calibri" w:cs="Calibri"/>
                      <w:sz w:val="20"/>
                      <w:szCs w:val="20"/>
                    </w:rPr>
                    <w:t>15 to &lt;24 ft</w:t>
                  </w:r>
                  <w:r w:rsidRPr="00AD09C9">
                    <w:rPr>
                      <w:rFonts w:ascii="Calibri" w:eastAsiaTheme="minorHAnsi" w:hAnsi="Calibri" w:cs="Calibri"/>
                      <w:position w:val="10"/>
                      <w:sz w:val="13"/>
                      <w:szCs w:val="13"/>
                    </w:rPr>
                    <w:t>3</w:t>
                  </w:r>
                </w:p>
              </w:tc>
              <w:tc>
                <w:tcPr>
                  <w:tcW w:w="2009" w:type="dxa"/>
                  <w:tcBorders>
                    <w:top w:val="single" w:sz="4" w:space="0" w:color="000000"/>
                    <w:left w:val="single" w:sz="4" w:space="0" w:color="000000"/>
                    <w:bottom w:val="single" w:sz="4" w:space="0" w:color="000000"/>
                    <w:right w:val="single" w:sz="4" w:space="0" w:color="000000"/>
                  </w:tcBorders>
                </w:tcPr>
                <w:p w14:paraId="68426C6C" w14:textId="77777777" w:rsidR="00502543" w:rsidRDefault="00502543"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r w:rsidRPr="00AD09C9">
                    <w:rPr>
                      <w:rFonts w:ascii="Calibri" w:eastAsiaTheme="minorHAnsi" w:hAnsi="Calibri" w:cs="Calibri"/>
                      <w:sz w:val="20"/>
                      <w:szCs w:val="20"/>
                    </w:rPr>
                    <w:t>$8,849</w:t>
                  </w:r>
                </w:p>
                <w:p w14:paraId="7F4A503C" w14:textId="21417C18" w:rsidR="00502543" w:rsidRPr="00AD09C9" w:rsidRDefault="00502543" w:rsidP="00AD09C9">
                  <w:pPr>
                    <w:kinsoku w:val="0"/>
                    <w:overflowPunct w:val="0"/>
                    <w:autoSpaceDE w:val="0"/>
                    <w:autoSpaceDN w:val="0"/>
                    <w:adjustRightInd w:val="0"/>
                    <w:spacing w:line="243" w:lineRule="exact"/>
                    <w:ind w:left="103"/>
                    <w:jc w:val="center"/>
                    <w:rPr>
                      <w:rFonts w:ascii="Times New Roman" w:eastAsiaTheme="minorHAnsi" w:hAnsi="Times New Roman"/>
                      <w:sz w:val="24"/>
                    </w:rPr>
                  </w:pPr>
                </w:p>
              </w:tc>
            </w:tr>
            <w:tr w:rsidR="00502543" w:rsidRPr="00AD09C9" w14:paraId="76BBAE1D" w14:textId="77777777" w:rsidTr="00811294">
              <w:trPr>
                <w:trHeight w:hRule="exact" w:val="576"/>
              </w:trPr>
              <w:tc>
                <w:tcPr>
                  <w:tcW w:w="1170" w:type="dxa"/>
                  <w:tcBorders>
                    <w:top w:val="single" w:sz="4" w:space="0" w:color="000000"/>
                    <w:left w:val="single" w:sz="4" w:space="0" w:color="000000"/>
                    <w:bottom w:val="single" w:sz="4" w:space="0" w:color="000000"/>
                    <w:right w:val="single" w:sz="4" w:space="0" w:color="000000"/>
                  </w:tcBorders>
                </w:tcPr>
                <w:p w14:paraId="152B9F4B" w14:textId="419EA258" w:rsidR="00502543" w:rsidRDefault="00502543"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r>
                    <w:rPr>
                      <w:rFonts w:ascii="Calibri" w:eastAsiaTheme="minorHAnsi" w:hAnsi="Calibri" w:cs="Calibri"/>
                      <w:sz w:val="20"/>
                      <w:szCs w:val="20"/>
                    </w:rPr>
                    <w:t>RF007</w:t>
                  </w:r>
                </w:p>
              </w:tc>
              <w:tc>
                <w:tcPr>
                  <w:tcW w:w="1080" w:type="dxa"/>
                  <w:tcBorders>
                    <w:top w:val="single" w:sz="4" w:space="0" w:color="000000"/>
                    <w:left w:val="single" w:sz="4" w:space="0" w:color="000000"/>
                    <w:bottom w:val="single" w:sz="4" w:space="0" w:color="000000"/>
                    <w:right w:val="single" w:sz="4" w:space="0" w:color="000000"/>
                  </w:tcBorders>
                </w:tcPr>
                <w:p w14:paraId="27302105" w14:textId="77777777" w:rsidR="00502543" w:rsidRDefault="00502543"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r>
                    <w:rPr>
                      <w:rFonts w:ascii="Calibri" w:eastAsiaTheme="minorHAnsi" w:hAnsi="Calibri" w:cs="Calibri"/>
                      <w:sz w:val="20"/>
                      <w:szCs w:val="20"/>
                    </w:rPr>
                    <w:t>464030</w:t>
                  </w:r>
                </w:p>
                <w:p w14:paraId="2A091E21" w14:textId="10663784" w:rsidR="00502543" w:rsidRPr="00AD09C9" w:rsidRDefault="00502543"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r>
                    <w:rPr>
                      <w:rFonts w:ascii="Calibri" w:eastAsiaTheme="minorHAnsi" w:hAnsi="Calibri" w:cs="Calibri"/>
                      <w:sz w:val="20"/>
                      <w:szCs w:val="20"/>
                    </w:rPr>
                    <w:t>464031</w:t>
                  </w:r>
                </w:p>
              </w:tc>
              <w:tc>
                <w:tcPr>
                  <w:tcW w:w="1710" w:type="dxa"/>
                  <w:tcBorders>
                    <w:top w:val="single" w:sz="4" w:space="0" w:color="000000"/>
                    <w:left w:val="single" w:sz="4" w:space="0" w:color="000000"/>
                    <w:bottom w:val="single" w:sz="4" w:space="0" w:color="000000"/>
                    <w:right w:val="single" w:sz="4" w:space="0" w:color="000000"/>
                  </w:tcBorders>
                </w:tcPr>
                <w:p w14:paraId="322FDE4E" w14:textId="55654B5D" w:rsidR="00502543" w:rsidRPr="00AD09C9" w:rsidRDefault="00502543" w:rsidP="00AD09C9">
                  <w:pPr>
                    <w:kinsoku w:val="0"/>
                    <w:overflowPunct w:val="0"/>
                    <w:autoSpaceDE w:val="0"/>
                    <w:autoSpaceDN w:val="0"/>
                    <w:adjustRightInd w:val="0"/>
                    <w:spacing w:line="243" w:lineRule="exact"/>
                    <w:ind w:left="103"/>
                    <w:jc w:val="center"/>
                    <w:rPr>
                      <w:rFonts w:ascii="Times New Roman" w:eastAsiaTheme="minorHAnsi" w:hAnsi="Times New Roman"/>
                      <w:sz w:val="24"/>
                    </w:rPr>
                  </w:pPr>
                  <w:r w:rsidRPr="00AD09C9">
                    <w:rPr>
                      <w:rFonts w:ascii="Calibri" w:eastAsiaTheme="minorHAnsi" w:hAnsi="Calibri" w:cs="Calibri"/>
                      <w:sz w:val="20"/>
                      <w:szCs w:val="20"/>
                    </w:rPr>
                    <w:t>24-29 ft</w:t>
                  </w:r>
                  <w:r w:rsidRPr="00AD09C9">
                    <w:rPr>
                      <w:rFonts w:ascii="Calibri" w:eastAsiaTheme="minorHAnsi" w:hAnsi="Calibri" w:cs="Calibri"/>
                      <w:position w:val="10"/>
                      <w:sz w:val="13"/>
                      <w:szCs w:val="13"/>
                    </w:rPr>
                    <w:t>3</w:t>
                  </w:r>
                </w:p>
              </w:tc>
              <w:tc>
                <w:tcPr>
                  <w:tcW w:w="2009" w:type="dxa"/>
                  <w:tcBorders>
                    <w:top w:val="single" w:sz="4" w:space="0" w:color="000000"/>
                    <w:left w:val="single" w:sz="4" w:space="0" w:color="000000"/>
                    <w:bottom w:val="single" w:sz="4" w:space="0" w:color="000000"/>
                    <w:right w:val="single" w:sz="4" w:space="0" w:color="000000"/>
                  </w:tcBorders>
                </w:tcPr>
                <w:p w14:paraId="71702801" w14:textId="77777777" w:rsidR="00502543" w:rsidRPr="00AD09C9" w:rsidRDefault="00502543" w:rsidP="00AD09C9">
                  <w:pPr>
                    <w:kinsoku w:val="0"/>
                    <w:overflowPunct w:val="0"/>
                    <w:autoSpaceDE w:val="0"/>
                    <w:autoSpaceDN w:val="0"/>
                    <w:adjustRightInd w:val="0"/>
                    <w:spacing w:line="243" w:lineRule="exact"/>
                    <w:ind w:left="103"/>
                    <w:jc w:val="center"/>
                    <w:rPr>
                      <w:rFonts w:ascii="Times New Roman" w:eastAsiaTheme="minorHAnsi" w:hAnsi="Times New Roman"/>
                      <w:sz w:val="24"/>
                    </w:rPr>
                  </w:pPr>
                  <w:r w:rsidRPr="00AD09C9">
                    <w:rPr>
                      <w:rFonts w:ascii="Calibri" w:eastAsiaTheme="minorHAnsi" w:hAnsi="Calibri" w:cs="Calibri"/>
                      <w:sz w:val="20"/>
                      <w:szCs w:val="20"/>
                    </w:rPr>
                    <w:t>$10,670</w:t>
                  </w:r>
                </w:p>
              </w:tc>
            </w:tr>
            <w:tr w:rsidR="00452286" w:rsidRPr="00AD09C9" w14:paraId="4E46C68B" w14:textId="77777777" w:rsidTr="002B67BF">
              <w:trPr>
                <w:trHeight w:hRule="exact" w:val="226"/>
              </w:trPr>
              <w:tc>
                <w:tcPr>
                  <w:tcW w:w="5969" w:type="dxa"/>
                  <w:gridSpan w:val="4"/>
                  <w:tcBorders>
                    <w:top w:val="single" w:sz="4" w:space="0" w:color="000000"/>
                    <w:left w:val="single" w:sz="4" w:space="0" w:color="000000"/>
                    <w:bottom w:val="none" w:sz="6" w:space="0" w:color="auto"/>
                    <w:right w:val="single" w:sz="4" w:space="0" w:color="000000"/>
                  </w:tcBorders>
                </w:tcPr>
                <w:p w14:paraId="00432495" w14:textId="77777777" w:rsidR="00452286" w:rsidRDefault="00452286"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p>
                <w:p w14:paraId="5EE72B9B" w14:textId="0AE7F8DE" w:rsidR="00452286" w:rsidRDefault="00452286"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p>
                <w:p w14:paraId="6580D3AA" w14:textId="77777777" w:rsidR="00452286" w:rsidRDefault="00452286"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p>
                <w:p w14:paraId="1A45125A" w14:textId="77777777" w:rsidR="00452286" w:rsidRDefault="00452286"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p>
                <w:p w14:paraId="66DDC841" w14:textId="77777777" w:rsidR="00452286" w:rsidRDefault="00452286"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p>
                <w:p w14:paraId="65586357" w14:textId="77777777" w:rsidR="00452286" w:rsidRDefault="00452286"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p>
                <w:p w14:paraId="778F4494" w14:textId="77777777" w:rsidR="00452286" w:rsidRPr="00AD09C9" w:rsidRDefault="00452286" w:rsidP="00AD09C9">
                  <w:pPr>
                    <w:kinsoku w:val="0"/>
                    <w:overflowPunct w:val="0"/>
                    <w:autoSpaceDE w:val="0"/>
                    <w:autoSpaceDN w:val="0"/>
                    <w:adjustRightInd w:val="0"/>
                    <w:spacing w:line="243" w:lineRule="exact"/>
                    <w:ind w:left="103"/>
                    <w:jc w:val="center"/>
                    <w:rPr>
                      <w:rFonts w:ascii="Calibri" w:eastAsiaTheme="minorHAnsi" w:hAnsi="Calibri" w:cs="Calibri"/>
                      <w:sz w:val="20"/>
                      <w:szCs w:val="20"/>
                    </w:rPr>
                  </w:pPr>
                </w:p>
              </w:tc>
            </w:tr>
          </w:tbl>
          <w:p w14:paraId="5A8E78D0" w14:textId="0BF4F3B4" w:rsidR="00CB11C9" w:rsidRPr="006527B1" w:rsidRDefault="00CB11C9" w:rsidP="00AD09C9">
            <w:pPr>
              <w:jc w:val="center"/>
              <w:rPr>
                <w:rFonts w:cs="Arial"/>
                <w:color w:val="000000" w:themeColor="text1"/>
                <w:sz w:val="20"/>
                <w:szCs w:val="20"/>
              </w:rPr>
            </w:pPr>
          </w:p>
        </w:tc>
      </w:tr>
      <w:tr w:rsidR="00CB11C9" w:rsidRPr="006527B1" w14:paraId="61FFA715" w14:textId="77777777" w:rsidTr="00055713">
        <w:trPr>
          <w:trHeight w:val="115"/>
        </w:trPr>
        <w:tc>
          <w:tcPr>
            <w:tcW w:w="2831" w:type="dxa"/>
          </w:tcPr>
          <w:p w14:paraId="064CC879" w14:textId="1DF0F6C7" w:rsidR="00CB11C9" w:rsidRPr="006527B1" w:rsidRDefault="00136EEC" w:rsidP="00D81D2F">
            <w:pPr>
              <w:rPr>
                <w:sz w:val="20"/>
                <w:szCs w:val="20"/>
              </w:rPr>
            </w:pPr>
            <w:r w:rsidRPr="006527B1">
              <w:rPr>
                <w:sz w:val="20"/>
                <w:szCs w:val="20"/>
              </w:rPr>
              <w:t>Measure Cost – Measure 4</w:t>
            </w:r>
          </w:p>
        </w:tc>
        <w:tc>
          <w:tcPr>
            <w:tcW w:w="6756" w:type="dxa"/>
          </w:tcPr>
          <w:p w14:paraId="092FF354" w14:textId="1094901A" w:rsidR="00AD09C9" w:rsidRPr="00AD09C9" w:rsidRDefault="00AD09C9" w:rsidP="00AD09C9">
            <w:pPr>
              <w:pStyle w:val="ListParagraph"/>
              <w:kinsoku w:val="0"/>
              <w:overflowPunct w:val="0"/>
              <w:spacing w:before="5" w:after="1"/>
              <w:rPr>
                <w:rFonts w:ascii="Times New Roman" w:eastAsiaTheme="minorHAnsi" w:hAnsi="Times New Roman"/>
                <w:sz w:val="9"/>
                <w:szCs w:val="9"/>
              </w:rPr>
            </w:pPr>
            <w:bookmarkStart w:id="7" w:name="bookmark6"/>
            <w:bookmarkStart w:id="8" w:name="bookmark5"/>
            <w:bookmarkStart w:id="9" w:name="bookmark4"/>
            <w:bookmarkEnd w:id="7"/>
            <w:bookmarkEnd w:id="8"/>
            <w:bookmarkEnd w:id="9"/>
          </w:p>
          <w:tbl>
            <w:tblPr>
              <w:tblW w:w="0" w:type="auto"/>
              <w:tblInd w:w="513" w:type="dxa"/>
              <w:tblCellMar>
                <w:left w:w="0" w:type="dxa"/>
                <w:right w:w="0" w:type="dxa"/>
              </w:tblCellMar>
              <w:tblLook w:val="0000" w:firstRow="0" w:lastRow="0" w:firstColumn="0" w:lastColumn="0" w:noHBand="0" w:noVBand="0"/>
            </w:tblPr>
            <w:tblGrid>
              <w:gridCol w:w="1312"/>
              <w:gridCol w:w="1312"/>
              <w:gridCol w:w="1372"/>
              <w:gridCol w:w="1785"/>
            </w:tblGrid>
            <w:tr w:rsidR="00C70FD3" w:rsidRPr="00AD09C9" w14:paraId="6237C3ED" w14:textId="77777777" w:rsidTr="00536849">
              <w:trPr>
                <w:trHeight w:hRule="exact" w:val="252"/>
              </w:trPr>
              <w:tc>
                <w:tcPr>
                  <w:tcW w:w="2624" w:type="dxa"/>
                  <w:gridSpan w:val="2"/>
                  <w:tcBorders>
                    <w:top w:val="single" w:sz="4" w:space="0" w:color="000000"/>
                    <w:left w:val="single" w:sz="4" w:space="0" w:color="000000"/>
                    <w:bottom w:val="single" w:sz="4" w:space="0" w:color="000000"/>
                    <w:right w:val="single" w:sz="4" w:space="0" w:color="000000"/>
                  </w:tcBorders>
                  <w:shd w:val="clear" w:color="auto" w:fill="D9D9D9"/>
                </w:tcPr>
                <w:p w14:paraId="5AAF1EC1" w14:textId="570EB79E" w:rsidR="00C70FD3" w:rsidRDefault="00C70FD3" w:rsidP="00AD09C9">
                  <w:pPr>
                    <w:kinsoku w:val="0"/>
                    <w:overflowPunct w:val="0"/>
                    <w:autoSpaceDE w:val="0"/>
                    <w:autoSpaceDN w:val="0"/>
                    <w:adjustRightInd w:val="0"/>
                    <w:spacing w:line="243" w:lineRule="exact"/>
                    <w:ind w:left="103"/>
                    <w:rPr>
                      <w:rFonts w:ascii="Calibri" w:eastAsiaTheme="minorHAnsi" w:hAnsi="Calibri" w:cs="Calibri"/>
                      <w:b/>
                      <w:bCs/>
                      <w:sz w:val="20"/>
                      <w:szCs w:val="20"/>
                    </w:rPr>
                  </w:pPr>
                  <w:r>
                    <w:rPr>
                      <w:rFonts w:ascii="Calibri" w:eastAsiaTheme="minorHAnsi" w:hAnsi="Calibri" w:cs="Calibri"/>
                      <w:b/>
                      <w:bCs/>
                      <w:sz w:val="20"/>
                      <w:szCs w:val="20"/>
                    </w:rPr>
                    <w:t>Measure Code</w:t>
                  </w:r>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D9D9D9"/>
                </w:tcPr>
                <w:p w14:paraId="1C5E217F" w14:textId="1B281523" w:rsidR="00C70FD3" w:rsidRPr="00AD09C9" w:rsidRDefault="00C70FD3" w:rsidP="00AD09C9">
                  <w:pPr>
                    <w:kinsoku w:val="0"/>
                    <w:overflowPunct w:val="0"/>
                    <w:autoSpaceDE w:val="0"/>
                    <w:autoSpaceDN w:val="0"/>
                    <w:adjustRightInd w:val="0"/>
                    <w:spacing w:line="243" w:lineRule="exact"/>
                    <w:ind w:left="103"/>
                    <w:rPr>
                      <w:rFonts w:ascii="Calibri" w:eastAsiaTheme="minorHAnsi" w:hAnsi="Calibri" w:cs="Calibri"/>
                      <w:b/>
                      <w:bCs/>
                      <w:sz w:val="20"/>
                      <w:szCs w:val="20"/>
                    </w:rPr>
                  </w:pPr>
                  <w:r>
                    <w:rPr>
                      <w:rFonts w:ascii="Calibri" w:eastAsiaTheme="minorHAnsi" w:hAnsi="Calibri" w:cs="Calibri"/>
                      <w:b/>
                      <w:bCs/>
                      <w:sz w:val="20"/>
                      <w:szCs w:val="20"/>
                    </w:rPr>
                    <w:t>Measure Description Cost</w:t>
                  </w:r>
                </w:p>
              </w:tc>
            </w:tr>
            <w:tr w:rsidR="00C70FD3" w:rsidRPr="00AD09C9" w14:paraId="109B8D30" w14:textId="77777777" w:rsidTr="00811294">
              <w:trPr>
                <w:trHeight w:hRule="exact" w:val="252"/>
              </w:trPr>
              <w:tc>
                <w:tcPr>
                  <w:tcW w:w="1312" w:type="dxa"/>
                  <w:tcBorders>
                    <w:top w:val="single" w:sz="4" w:space="0" w:color="000000"/>
                    <w:left w:val="single" w:sz="4" w:space="0" w:color="000000"/>
                    <w:bottom w:val="single" w:sz="4" w:space="0" w:color="000000"/>
                    <w:right w:val="single" w:sz="4" w:space="0" w:color="000000"/>
                  </w:tcBorders>
                  <w:shd w:val="clear" w:color="auto" w:fill="D9D9D9"/>
                </w:tcPr>
                <w:p w14:paraId="1D9F939A" w14:textId="0D3B87DA" w:rsidR="00C70FD3" w:rsidRDefault="00C70FD3" w:rsidP="00C70FD3">
                  <w:pPr>
                    <w:kinsoku w:val="0"/>
                    <w:overflowPunct w:val="0"/>
                    <w:autoSpaceDE w:val="0"/>
                    <w:autoSpaceDN w:val="0"/>
                    <w:adjustRightInd w:val="0"/>
                    <w:spacing w:line="243" w:lineRule="exact"/>
                    <w:ind w:left="103"/>
                    <w:rPr>
                      <w:rFonts w:ascii="Calibri" w:eastAsiaTheme="minorHAnsi" w:hAnsi="Calibri" w:cs="Calibri"/>
                      <w:b/>
                      <w:bCs/>
                      <w:sz w:val="20"/>
                      <w:szCs w:val="20"/>
                    </w:rPr>
                  </w:pPr>
                  <w:r>
                    <w:rPr>
                      <w:rFonts w:ascii="Calibri" w:eastAsiaTheme="minorHAnsi" w:hAnsi="Calibri" w:cs="Calibri"/>
                      <w:b/>
                      <w:bCs/>
                      <w:sz w:val="20"/>
                      <w:szCs w:val="20"/>
                    </w:rPr>
                    <w:t xml:space="preserve">PGE </w:t>
                  </w:r>
                </w:p>
              </w:tc>
              <w:tc>
                <w:tcPr>
                  <w:tcW w:w="1312" w:type="dxa"/>
                  <w:tcBorders>
                    <w:top w:val="single" w:sz="4" w:space="0" w:color="000000"/>
                    <w:left w:val="single" w:sz="4" w:space="0" w:color="000000"/>
                    <w:bottom w:val="single" w:sz="4" w:space="0" w:color="000000"/>
                    <w:right w:val="single" w:sz="4" w:space="0" w:color="000000"/>
                  </w:tcBorders>
                  <w:shd w:val="clear" w:color="auto" w:fill="D9D9D9"/>
                </w:tcPr>
                <w:p w14:paraId="3EBD5CB6" w14:textId="33B6DE2B" w:rsidR="00C70FD3" w:rsidRPr="00AD09C9" w:rsidRDefault="00C70FD3" w:rsidP="00C70FD3">
                  <w:pPr>
                    <w:kinsoku w:val="0"/>
                    <w:overflowPunct w:val="0"/>
                    <w:autoSpaceDE w:val="0"/>
                    <w:autoSpaceDN w:val="0"/>
                    <w:adjustRightInd w:val="0"/>
                    <w:spacing w:line="243" w:lineRule="exact"/>
                    <w:ind w:left="103"/>
                    <w:rPr>
                      <w:rFonts w:ascii="Calibri" w:eastAsiaTheme="minorHAnsi" w:hAnsi="Calibri" w:cs="Calibri"/>
                      <w:b/>
                      <w:bCs/>
                      <w:sz w:val="20"/>
                      <w:szCs w:val="20"/>
                    </w:rPr>
                  </w:pPr>
                  <w:r>
                    <w:rPr>
                      <w:rFonts w:ascii="Calibri" w:eastAsiaTheme="minorHAnsi" w:hAnsi="Calibri" w:cs="Calibri"/>
                      <w:b/>
                      <w:bCs/>
                      <w:sz w:val="20"/>
                      <w:szCs w:val="20"/>
                    </w:rPr>
                    <w:t>SDGE</w:t>
                  </w:r>
                </w:p>
              </w:tc>
              <w:tc>
                <w:tcPr>
                  <w:tcW w:w="1372" w:type="dxa"/>
                  <w:tcBorders>
                    <w:top w:val="single" w:sz="4" w:space="0" w:color="000000"/>
                    <w:left w:val="single" w:sz="4" w:space="0" w:color="000000"/>
                    <w:bottom w:val="single" w:sz="4" w:space="0" w:color="000000"/>
                    <w:right w:val="single" w:sz="4" w:space="0" w:color="000000"/>
                  </w:tcBorders>
                  <w:shd w:val="clear" w:color="auto" w:fill="D9D9D9"/>
                </w:tcPr>
                <w:p w14:paraId="0F9699FC" w14:textId="16BF2A10" w:rsidR="00C70FD3" w:rsidRPr="00AD09C9" w:rsidRDefault="00C70FD3" w:rsidP="00C70FD3">
                  <w:pPr>
                    <w:kinsoku w:val="0"/>
                    <w:overflowPunct w:val="0"/>
                    <w:autoSpaceDE w:val="0"/>
                    <w:autoSpaceDN w:val="0"/>
                    <w:adjustRightInd w:val="0"/>
                    <w:spacing w:line="243" w:lineRule="exact"/>
                    <w:ind w:left="103"/>
                    <w:rPr>
                      <w:rFonts w:ascii="Times New Roman" w:eastAsiaTheme="minorHAnsi" w:hAnsi="Times New Roman"/>
                      <w:sz w:val="24"/>
                    </w:rPr>
                  </w:pPr>
                  <w:r w:rsidRPr="00AD09C9">
                    <w:rPr>
                      <w:rFonts w:ascii="Calibri" w:eastAsiaTheme="minorHAnsi" w:hAnsi="Calibri" w:cs="Calibri"/>
                      <w:b/>
                      <w:bCs/>
                      <w:sz w:val="20"/>
                      <w:szCs w:val="20"/>
                    </w:rPr>
                    <w:t>ULT Freezer Size</w:t>
                  </w:r>
                </w:p>
              </w:tc>
              <w:tc>
                <w:tcPr>
                  <w:tcW w:w="1785" w:type="dxa"/>
                  <w:tcBorders>
                    <w:top w:val="single" w:sz="4" w:space="0" w:color="000000"/>
                    <w:left w:val="single" w:sz="4" w:space="0" w:color="000000"/>
                    <w:bottom w:val="single" w:sz="4" w:space="0" w:color="000000"/>
                    <w:right w:val="single" w:sz="4" w:space="0" w:color="000000"/>
                  </w:tcBorders>
                  <w:shd w:val="clear" w:color="auto" w:fill="D9D9D9"/>
                </w:tcPr>
                <w:p w14:paraId="1F9E226E" w14:textId="77777777" w:rsidR="00C70FD3" w:rsidRPr="00AD09C9" w:rsidRDefault="00C70FD3" w:rsidP="00C70FD3">
                  <w:pPr>
                    <w:kinsoku w:val="0"/>
                    <w:overflowPunct w:val="0"/>
                    <w:autoSpaceDE w:val="0"/>
                    <w:autoSpaceDN w:val="0"/>
                    <w:adjustRightInd w:val="0"/>
                    <w:spacing w:line="243" w:lineRule="exact"/>
                    <w:ind w:left="103"/>
                    <w:rPr>
                      <w:rFonts w:ascii="Times New Roman" w:eastAsiaTheme="minorHAnsi" w:hAnsi="Times New Roman"/>
                      <w:sz w:val="24"/>
                    </w:rPr>
                  </w:pPr>
                  <w:r w:rsidRPr="00AD09C9">
                    <w:rPr>
                      <w:rFonts w:ascii="Calibri" w:eastAsiaTheme="minorHAnsi" w:hAnsi="Calibri" w:cs="Calibri"/>
                      <w:b/>
                      <w:bCs/>
                      <w:sz w:val="20"/>
                      <w:szCs w:val="20"/>
                    </w:rPr>
                    <w:t>Average Retail Price</w:t>
                  </w:r>
                </w:p>
              </w:tc>
            </w:tr>
            <w:tr w:rsidR="00C70FD3" w:rsidRPr="00AD09C9" w14:paraId="58CE14ED" w14:textId="77777777" w:rsidTr="00811294">
              <w:trPr>
                <w:trHeight w:hRule="exact" w:val="504"/>
              </w:trPr>
              <w:tc>
                <w:tcPr>
                  <w:tcW w:w="1312" w:type="dxa"/>
                  <w:tcBorders>
                    <w:top w:val="single" w:sz="4" w:space="0" w:color="000000"/>
                    <w:left w:val="single" w:sz="4" w:space="0" w:color="000000"/>
                    <w:bottom w:val="single" w:sz="4" w:space="0" w:color="000000"/>
                    <w:right w:val="single" w:sz="4" w:space="0" w:color="000000"/>
                  </w:tcBorders>
                </w:tcPr>
                <w:p w14:paraId="02C61263" w14:textId="06EA875D" w:rsidR="00C70FD3" w:rsidRDefault="00C70FD3" w:rsidP="00811294">
                  <w:pPr>
                    <w:kinsoku w:val="0"/>
                    <w:overflowPunct w:val="0"/>
                    <w:autoSpaceDE w:val="0"/>
                    <w:autoSpaceDN w:val="0"/>
                    <w:adjustRightInd w:val="0"/>
                    <w:spacing w:line="246" w:lineRule="exact"/>
                    <w:ind w:left="103"/>
                    <w:jc w:val="center"/>
                    <w:rPr>
                      <w:rFonts w:ascii="Calibri" w:eastAsiaTheme="minorHAnsi" w:hAnsi="Calibri" w:cs="Calibri"/>
                      <w:sz w:val="20"/>
                      <w:szCs w:val="20"/>
                    </w:rPr>
                  </w:pPr>
                  <w:r>
                    <w:rPr>
                      <w:rFonts w:ascii="Calibri" w:eastAsiaTheme="minorHAnsi" w:hAnsi="Calibri" w:cs="Calibri"/>
                      <w:sz w:val="20"/>
                      <w:szCs w:val="20"/>
                    </w:rPr>
                    <w:lastRenderedPageBreak/>
                    <w:t>RF006</w:t>
                  </w:r>
                </w:p>
              </w:tc>
              <w:tc>
                <w:tcPr>
                  <w:tcW w:w="1312" w:type="dxa"/>
                  <w:tcBorders>
                    <w:top w:val="single" w:sz="4" w:space="0" w:color="000000"/>
                    <w:left w:val="single" w:sz="4" w:space="0" w:color="000000"/>
                    <w:bottom w:val="single" w:sz="4" w:space="0" w:color="000000"/>
                    <w:right w:val="single" w:sz="4" w:space="0" w:color="000000"/>
                  </w:tcBorders>
                </w:tcPr>
                <w:p w14:paraId="50E99F44" w14:textId="1A9E69C9" w:rsidR="00C70FD3" w:rsidRDefault="00C70FD3" w:rsidP="00C70FD3">
                  <w:pPr>
                    <w:kinsoku w:val="0"/>
                    <w:overflowPunct w:val="0"/>
                    <w:autoSpaceDE w:val="0"/>
                    <w:autoSpaceDN w:val="0"/>
                    <w:adjustRightInd w:val="0"/>
                    <w:spacing w:line="243" w:lineRule="exact"/>
                    <w:ind w:left="103"/>
                    <w:jc w:val="center"/>
                    <w:rPr>
                      <w:rFonts w:ascii="Calibri" w:eastAsiaTheme="minorHAnsi" w:hAnsi="Calibri" w:cs="Calibri"/>
                      <w:sz w:val="20"/>
                      <w:szCs w:val="20"/>
                    </w:rPr>
                  </w:pPr>
                  <w:r>
                    <w:rPr>
                      <w:rFonts w:ascii="Calibri" w:eastAsiaTheme="minorHAnsi" w:hAnsi="Calibri" w:cs="Calibri"/>
                      <w:sz w:val="20"/>
                      <w:szCs w:val="20"/>
                    </w:rPr>
                    <w:t>464028</w:t>
                  </w:r>
                </w:p>
                <w:p w14:paraId="04D6A3A1" w14:textId="2748457C" w:rsidR="00C70FD3" w:rsidRPr="00AD09C9" w:rsidRDefault="00C70FD3" w:rsidP="00811294">
                  <w:pPr>
                    <w:kinsoku w:val="0"/>
                    <w:overflowPunct w:val="0"/>
                    <w:autoSpaceDE w:val="0"/>
                    <w:autoSpaceDN w:val="0"/>
                    <w:adjustRightInd w:val="0"/>
                    <w:spacing w:line="246" w:lineRule="exact"/>
                    <w:ind w:left="103"/>
                    <w:jc w:val="center"/>
                    <w:rPr>
                      <w:rFonts w:ascii="Calibri" w:eastAsiaTheme="minorHAnsi" w:hAnsi="Calibri" w:cs="Calibri"/>
                      <w:sz w:val="20"/>
                      <w:szCs w:val="20"/>
                    </w:rPr>
                  </w:pPr>
                  <w:r>
                    <w:rPr>
                      <w:rFonts w:ascii="Calibri" w:eastAsiaTheme="minorHAnsi" w:hAnsi="Calibri" w:cs="Calibri"/>
                      <w:sz w:val="20"/>
                      <w:szCs w:val="20"/>
                    </w:rPr>
                    <w:t>464029</w:t>
                  </w:r>
                </w:p>
              </w:tc>
              <w:tc>
                <w:tcPr>
                  <w:tcW w:w="1372" w:type="dxa"/>
                  <w:tcBorders>
                    <w:top w:val="single" w:sz="4" w:space="0" w:color="000000"/>
                    <w:left w:val="single" w:sz="4" w:space="0" w:color="000000"/>
                    <w:bottom w:val="single" w:sz="4" w:space="0" w:color="000000"/>
                    <w:right w:val="single" w:sz="4" w:space="0" w:color="000000"/>
                  </w:tcBorders>
                </w:tcPr>
                <w:p w14:paraId="3A8418E5" w14:textId="73D9C7E5" w:rsidR="00C70FD3" w:rsidRPr="00AD09C9" w:rsidRDefault="00C70FD3" w:rsidP="00C70FD3">
                  <w:pPr>
                    <w:kinsoku w:val="0"/>
                    <w:overflowPunct w:val="0"/>
                    <w:autoSpaceDE w:val="0"/>
                    <w:autoSpaceDN w:val="0"/>
                    <w:adjustRightInd w:val="0"/>
                    <w:spacing w:line="246" w:lineRule="exact"/>
                    <w:ind w:left="103"/>
                    <w:rPr>
                      <w:rFonts w:ascii="Times New Roman" w:eastAsiaTheme="minorHAnsi" w:hAnsi="Times New Roman"/>
                      <w:sz w:val="24"/>
                    </w:rPr>
                  </w:pPr>
                  <w:r w:rsidRPr="00AD09C9">
                    <w:rPr>
                      <w:rFonts w:ascii="Calibri" w:eastAsiaTheme="minorHAnsi" w:hAnsi="Calibri" w:cs="Calibri"/>
                      <w:sz w:val="20"/>
                      <w:szCs w:val="20"/>
                    </w:rPr>
                    <w:t>15 to &lt;24 ft</w:t>
                  </w:r>
                  <w:r w:rsidRPr="00AD09C9">
                    <w:rPr>
                      <w:rFonts w:ascii="Calibri" w:eastAsiaTheme="minorHAnsi" w:hAnsi="Calibri" w:cs="Calibri"/>
                      <w:position w:val="10"/>
                      <w:sz w:val="13"/>
                      <w:szCs w:val="13"/>
                    </w:rPr>
                    <w:t>3</w:t>
                  </w:r>
                </w:p>
              </w:tc>
              <w:tc>
                <w:tcPr>
                  <w:tcW w:w="1785" w:type="dxa"/>
                  <w:tcBorders>
                    <w:top w:val="single" w:sz="4" w:space="0" w:color="000000"/>
                    <w:left w:val="single" w:sz="4" w:space="0" w:color="000000"/>
                    <w:bottom w:val="single" w:sz="4" w:space="0" w:color="000000"/>
                    <w:right w:val="single" w:sz="4" w:space="0" w:color="000000"/>
                  </w:tcBorders>
                </w:tcPr>
                <w:p w14:paraId="78BBD457" w14:textId="77777777" w:rsidR="00C70FD3" w:rsidRPr="00AD09C9" w:rsidRDefault="00C70FD3" w:rsidP="00C70FD3">
                  <w:pPr>
                    <w:kinsoku w:val="0"/>
                    <w:overflowPunct w:val="0"/>
                    <w:autoSpaceDE w:val="0"/>
                    <w:autoSpaceDN w:val="0"/>
                    <w:adjustRightInd w:val="0"/>
                    <w:spacing w:before="1"/>
                    <w:ind w:left="103"/>
                    <w:rPr>
                      <w:rFonts w:ascii="Times New Roman" w:eastAsiaTheme="minorHAnsi" w:hAnsi="Times New Roman"/>
                      <w:sz w:val="24"/>
                    </w:rPr>
                  </w:pPr>
                  <w:r w:rsidRPr="00AD09C9">
                    <w:rPr>
                      <w:rFonts w:ascii="Calibri" w:eastAsiaTheme="minorHAnsi" w:hAnsi="Calibri" w:cs="Calibri"/>
                      <w:sz w:val="20"/>
                      <w:szCs w:val="20"/>
                    </w:rPr>
                    <w:t>$10,984</w:t>
                  </w:r>
                </w:p>
              </w:tc>
            </w:tr>
            <w:tr w:rsidR="00C70FD3" w:rsidRPr="00AD09C9" w14:paraId="3878CFD7" w14:textId="77777777" w:rsidTr="00811294">
              <w:trPr>
                <w:trHeight w:hRule="exact" w:val="504"/>
              </w:trPr>
              <w:tc>
                <w:tcPr>
                  <w:tcW w:w="1312" w:type="dxa"/>
                  <w:tcBorders>
                    <w:top w:val="single" w:sz="4" w:space="0" w:color="000000"/>
                    <w:left w:val="single" w:sz="4" w:space="0" w:color="000000"/>
                    <w:bottom w:val="single" w:sz="4" w:space="0" w:color="000000"/>
                    <w:right w:val="single" w:sz="4" w:space="0" w:color="000000"/>
                  </w:tcBorders>
                </w:tcPr>
                <w:p w14:paraId="480182B7" w14:textId="0F576848" w:rsidR="00C70FD3" w:rsidRDefault="00C70FD3" w:rsidP="00811294">
                  <w:pPr>
                    <w:kinsoku w:val="0"/>
                    <w:overflowPunct w:val="0"/>
                    <w:autoSpaceDE w:val="0"/>
                    <w:autoSpaceDN w:val="0"/>
                    <w:adjustRightInd w:val="0"/>
                    <w:spacing w:line="243" w:lineRule="exact"/>
                    <w:ind w:left="103"/>
                    <w:jc w:val="center"/>
                    <w:rPr>
                      <w:rFonts w:ascii="Calibri" w:eastAsiaTheme="minorHAnsi" w:hAnsi="Calibri" w:cs="Calibri"/>
                      <w:sz w:val="20"/>
                      <w:szCs w:val="20"/>
                    </w:rPr>
                  </w:pPr>
                  <w:r>
                    <w:rPr>
                      <w:rFonts w:ascii="Calibri" w:eastAsiaTheme="minorHAnsi" w:hAnsi="Calibri" w:cs="Calibri"/>
                      <w:sz w:val="20"/>
                      <w:szCs w:val="20"/>
                    </w:rPr>
                    <w:t>RF007</w:t>
                  </w:r>
                </w:p>
              </w:tc>
              <w:tc>
                <w:tcPr>
                  <w:tcW w:w="1312" w:type="dxa"/>
                  <w:tcBorders>
                    <w:top w:val="single" w:sz="4" w:space="0" w:color="000000"/>
                    <w:left w:val="single" w:sz="4" w:space="0" w:color="000000"/>
                    <w:bottom w:val="single" w:sz="4" w:space="0" w:color="000000"/>
                    <w:right w:val="single" w:sz="4" w:space="0" w:color="000000"/>
                  </w:tcBorders>
                </w:tcPr>
                <w:p w14:paraId="3164448F" w14:textId="3E123359" w:rsidR="00C70FD3" w:rsidRDefault="00C70FD3" w:rsidP="00C70FD3">
                  <w:pPr>
                    <w:kinsoku w:val="0"/>
                    <w:overflowPunct w:val="0"/>
                    <w:autoSpaceDE w:val="0"/>
                    <w:autoSpaceDN w:val="0"/>
                    <w:adjustRightInd w:val="0"/>
                    <w:spacing w:line="243" w:lineRule="exact"/>
                    <w:ind w:left="103"/>
                    <w:jc w:val="center"/>
                    <w:rPr>
                      <w:rFonts w:ascii="Calibri" w:eastAsiaTheme="minorHAnsi" w:hAnsi="Calibri" w:cs="Calibri"/>
                      <w:sz w:val="20"/>
                      <w:szCs w:val="20"/>
                    </w:rPr>
                  </w:pPr>
                  <w:r>
                    <w:rPr>
                      <w:rFonts w:ascii="Calibri" w:eastAsiaTheme="minorHAnsi" w:hAnsi="Calibri" w:cs="Calibri"/>
                      <w:sz w:val="20"/>
                      <w:szCs w:val="20"/>
                    </w:rPr>
                    <w:t>464030</w:t>
                  </w:r>
                </w:p>
                <w:p w14:paraId="64DDF75D" w14:textId="70C12E18" w:rsidR="00C70FD3" w:rsidRPr="00AD09C9" w:rsidRDefault="00C70FD3" w:rsidP="00811294">
                  <w:pPr>
                    <w:kinsoku w:val="0"/>
                    <w:overflowPunct w:val="0"/>
                    <w:autoSpaceDE w:val="0"/>
                    <w:autoSpaceDN w:val="0"/>
                    <w:adjustRightInd w:val="0"/>
                    <w:spacing w:line="243" w:lineRule="exact"/>
                    <w:ind w:left="103"/>
                    <w:jc w:val="center"/>
                    <w:rPr>
                      <w:rFonts w:ascii="Calibri" w:eastAsiaTheme="minorHAnsi" w:hAnsi="Calibri" w:cs="Calibri"/>
                      <w:sz w:val="20"/>
                      <w:szCs w:val="20"/>
                    </w:rPr>
                  </w:pPr>
                  <w:r>
                    <w:rPr>
                      <w:rFonts w:ascii="Calibri" w:eastAsiaTheme="minorHAnsi" w:hAnsi="Calibri" w:cs="Calibri"/>
                      <w:sz w:val="20"/>
                      <w:szCs w:val="20"/>
                    </w:rPr>
                    <w:t>464031</w:t>
                  </w:r>
                </w:p>
              </w:tc>
              <w:tc>
                <w:tcPr>
                  <w:tcW w:w="1372" w:type="dxa"/>
                  <w:tcBorders>
                    <w:top w:val="single" w:sz="4" w:space="0" w:color="000000"/>
                    <w:left w:val="single" w:sz="4" w:space="0" w:color="000000"/>
                    <w:bottom w:val="single" w:sz="4" w:space="0" w:color="000000"/>
                    <w:right w:val="single" w:sz="4" w:space="0" w:color="000000"/>
                  </w:tcBorders>
                </w:tcPr>
                <w:p w14:paraId="7505A3BB" w14:textId="7133A215" w:rsidR="00C70FD3" w:rsidRPr="00AD09C9" w:rsidRDefault="00C70FD3" w:rsidP="00C70FD3">
                  <w:pPr>
                    <w:kinsoku w:val="0"/>
                    <w:overflowPunct w:val="0"/>
                    <w:autoSpaceDE w:val="0"/>
                    <w:autoSpaceDN w:val="0"/>
                    <w:adjustRightInd w:val="0"/>
                    <w:spacing w:line="243" w:lineRule="exact"/>
                    <w:ind w:left="103"/>
                    <w:rPr>
                      <w:rFonts w:ascii="Times New Roman" w:eastAsiaTheme="minorHAnsi" w:hAnsi="Times New Roman"/>
                      <w:sz w:val="24"/>
                    </w:rPr>
                  </w:pPr>
                  <w:r w:rsidRPr="00AD09C9">
                    <w:rPr>
                      <w:rFonts w:ascii="Calibri" w:eastAsiaTheme="minorHAnsi" w:hAnsi="Calibri" w:cs="Calibri"/>
                      <w:sz w:val="20"/>
                      <w:szCs w:val="20"/>
                    </w:rPr>
                    <w:t>24-29 ft</w:t>
                  </w:r>
                  <w:r w:rsidRPr="00AD09C9">
                    <w:rPr>
                      <w:rFonts w:ascii="Calibri" w:eastAsiaTheme="minorHAnsi" w:hAnsi="Calibri" w:cs="Calibri"/>
                      <w:position w:val="10"/>
                      <w:sz w:val="13"/>
                      <w:szCs w:val="13"/>
                    </w:rPr>
                    <w:t>3</w:t>
                  </w:r>
                </w:p>
              </w:tc>
              <w:tc>
                <w:tcPr>
                  <w:tcW w:w="1785" w:type="dxa"/>
                  <w:tcBorders>
                    <w:top w:val="single" w:sz="4" w:space="0" w:color="000000"/>
                    <w:left w:val="single" w:sz="4" w:space="0" w:color="000000"/>
                    <w:bottom w:val="single" w:sz="4" w:space="0" w:color="000000"/>
                    <w:right w:val="single" w:sz="4" w:space="0" w:color="000000"/>
                  </w:tcBorders>
                </w:tcPr>
                <w:p w14:paraId="746742C1" w14:textId="77777777" w:rsidR="00C70FD3" w:rsidRPr="00AD09C9" w:rsidRDefault="00C70FD3" w:rsidP="00C70FD3">
                  <w:pPr>
                    <w:kinsoku w:val="0"/>
                    <w:overflowPunct w:val="0"/>
                    <w:autoSpaceDE w:val="0"/>
                    <w:autoSpaceDN w:val="0"/>
                    <w:adjustRightInd w:val="0"/>
                    <w:spacing w:line="243" w:lineRule="exact"/>
                    <w:ind w:left="103"/>
                    <w:rPr>
                      <w:rFonts w:ascii="Times New Roman" w:eastAsiaTheme="minorHAnsi" w:hAnsi="Times New Roman"/>
                      <w:sz w:val="24"/>
                    </w:rPr>
                  </w:pPr>
                  <w:r w:rsidRPr="00AD09C9">
                    <w:rPr>
                      <w:rFonts w:ascii="Calibri" w:eastAsiaTheme="minorHAnsi" w:hAnsi="Calibri" w:cs="Calibri"/>
                      <w:sz w:val="20"/>
                      <w:szCs w:val="20"/>
                    </w:rPr>
                    <w:t>$12,460</w:t>
                  </w:r>
                </w:p>
              </w:tc>
            </w:tr>
            <w:tr w:rsidR="00C70FD3" w:rsidRPr="00AD09C9" w14:paraId="5B37DA90" w14:textId="77777777" w:rsidTr="002D0441">
              <w:trPr>
                <w:trHeight w:hRule="exact" w:val="254"/>
              </w:trPr>
              <w:tc>
                <w:tcPr>
                  <w:tcW w:w="5781" w:type="dxa"/>
                  <w:gridSpan w:val="4"/>
                  <w:tcBorders>
                    <w:top w:val="single" w:sz="4" w:space="0" w:color="000000"/>
                    <w:left w:val="single" w:sz="4" w:space="0" w:color="000000"/>
                    <w:bottom w:val="single" w:sz="4" w:space="0" w:color="000000"/>
                    <w:right w:val="single" w:sz="4" w:space="0" w:color="000000"/>
                  </w:tcBorders>
                </w:tcPr>
                <w:p w14:paraId="5FA0978E" w14:textId="684B5F6C" w:rsidR="00C70FD3" w:rsidRDefault="00C70FD3" w:rsidP="00C70FD3">
                  <w:pPr>
                    <w:kinsoku w:val="0"/>
                    <w:overflowPunct w:val="0"/>
                    <w:autoSpaceDE w:val="0"/>
                    <w:autoSpaceDN w:val="0"/>
                    <w:adjustRightInd w:val="0"/>
                    <w:spacing w:line="243" w:lineRule="exact"/>
                    <w:ind w:left="103"/>
                    <w:rPr>
                      <w:rFonts w:ascii="Calibri" w:eastAsiaTheme="minorHAnsi" w:hAnsi="Calibri" w:cs="Calibri"/>
                      <w:sz w:val="20"/>
                      <w:szCs w:val="20"/>
                    </w:rPr>
                  </w:pPr>
                </w:p>
                <w:p w14:paraId="2E98A6C0" w14:textId="2F4EE876" w:rsidR="00C70FD3" w:rsidRDefault="00C70FD3" w:rsidP="00C70FD3">
                  <w:pPr>
                    <w:kinsoku w:val="0"/>
                    <w:overflowPunct w:val="0"/>
                    <w:autoSpaceDE w:val="0"/>
                    <w:autoSpaceDN w:val="0"/>
                    <w:adjustRightInd w:val="0"/>
                    <w:spacing w:line="243" w:lineRule="exact"/>
                    <w:ind w:left="103"/>
                    <w:rPr>
                      <w:rFonts w:ascii="Calibri" w:eastAsiaTheme="minorHAnsi" w:hAnsi="Calibri" w:cs="Calibri"/>
                      <w:sz w:val="20"/>
                      <w:szCs w:val="20"/>
                    </w:rPr>
                  </w:pPr>
                </w:p>
                <w:p w14:paraId="0138C8B1" w14:textId="77777777" w:rsidR="00C70FD3" w:rsidRDefault="00C70FD3" w:rsidP="00C70FD3">
                  <w:pPr>
                    <w:kinsoku w:val="0"/>
                    <w:overflowPunct w:val="0"/>
                    <w:autoSpaceDE w:val="0"/>
                    <w:autoSpaceDN w:val="0"/>
                    <w:adjustRightInd w:val="0"/>
                    <w:spacing w:line="243" w:lineRule="exact"/>
                    <w:ind w:left="103"/>
                    <w:rPr>
                      <w:rFonts w:ascii="Calibri" w:eastAsiaTheme="minorHAnsi" w:hAnsi="Calibri" w:cs="Calibri"/>
                      <w:sz w:val="20"/>
                      <w:szCs w:val="20"/>
                    </w:rPr>
                  </w:pPr>
                </w:p>
                <w:p w14:paraId="10FC6705" w14:textId="34B60B18" w:rsidR="00C70FD3" w:rsidRDefault="00C70FD3" w:rsidP="00C70FD3">
                  <w:pPr>
                    <w:kinsoku w:val="0"/>
                    <w:overflowPunct w:val="0"/>
                    <w:autoSpaceDE w:val="0"/>
                    <w:autoSpaceDN w:val="0"/>
                    <w:adjustRightInd w:val="0"/>
                    <w:spacing w:line="243" w:lineRule="exact"/>
                    <w:ind w:left="103"/>
                    <w:rPr>
                      <w:rFonts w:ascii="Calibri" w:eastAsiaTheme="minorHAnsi" w:hAnsi="Calibri" w:cs="Calibri"/>
                      <w:sz w:val="20"/>
                      <w:szCs w:val="20"/>
                    </w:rPr>
                  </w:pPr>
                </w:p>
                <w:p w14:paraId="46D476E1" w14:textId="77777777" w:rsidR="00C70FD3" w:rsidRDefault="00C70FD3" w:rsidP="00C70FD3">
                  <w:pPr>
                    <w:kinsoku w:val="0"/>
                    <w:overflowPunct w:val="0"/>
                    <w:autoSpaceDE w:val="0"/>
                    <w:autoSpaceDN w:val="0"/>
                    <w:adjustRightInd w:val="0"/>
                    <w:spacing w:line="243" w:lineRule="exact"/>
                    <w:ind w:left="103"/>
                    <w:rPr>
                      <w:rFonts w:ascii="Calibri" w:eastAsiaTheme="minorHAnsi" w:hAnsi="Calibri" w:cs="Calibri"/>
                      <w:sz w:val="20"/>
                      <w:szCs w:val="20"/>
                    </w:rPr>
                  </w:pPr>
                </w:p>
                <w:p w14:paraId="2EE30006" w14:textId="77777777" w:rsidR="00C70FD3" w:rsidRDefault="00C70FD3" w:rsidP="00C70FD3">
                  <w:pPr>
                    <w:kinsoku w:val="0"/>
                    <w:overflowPunct w:val="0"/>
                    <w:autoSpaceDE w:val="0"/>
                    <w:autoSpaceDN w:val="0"/>
                    <w:adjustRightInd w:val="0"/>
                    <w:spacing w:line="243" w:lineRule="exact"/>
                    <w:ind w:left="103"/>
                    <w:rPr>
                      <w:rFonts w:ascii="Calibri" w:eastAsiaTheme="minorHAnsi" w:hAnsi="Calibri" w:cs="Calibri"/>
                      <w:sz w:val="20"/>
                      <w:szCs w:val="20"/>
                    </w:rPr>
                  </w:pPr>
                </w:p>
                <w:p w14:paraId="5584AD10" w14:textId="77777777" w:rsidR="00C70FD3" w:rsidRDefault="00C70FD3" w:rsidP="00C70FD3">
                  <w:pPr>
                    <w:kinsoku w:val="0"/>
                    <w:overflowPunct w:val="0"/>
                    <w:autoSpaceDE w:val="0"/>
                    <w:autoSpaceDN w:val="0"/>
                    <w:adjustRightInd w:val="0"/>
                    <w:spacing w:line="243" w:lineRule="exact"/>
                    <w:ind w:left="103"/>
                    <w:rPr>
                      <w:rFonts w:ascii="Calibri" w:eastAsiaTheme="minorHAnsi" w:hAnsi="Calibri" w:cs="Calibri"/>
                      <w:sz w:val="20"/>
                      <w:szCs w:val="20"/>
                    </w:rPr>
                  </w:pPr>
                </w:p>
                <w:p w14:paraId="69E6A0FF" w14:textId="77777777" w:rsidR="00C70FD3" w:rsidRDefault="00C70FD3" w:rsidP="00C70FD3">
                  <w:pPr>
                    <w:kinsoku w:val="0"/>
                    <w:overflowPunct w:val="0"/>
                    <w:autoSpaceDE w:val="0"/>
                    <w:autoSpaceDN w:val="0"/>
                    <w:adjustRightInd w:val="0"/>
                    <w:spacing w:line="243" w:lineRule="exact"/>
                    <w:ind w:left="103"/>
                    <w:rPr>
                      <w:rFonts w:ascii="Calibri" w:eastAsiaTheme="minorHAnsi" w:hAnsi="Calibri" w:cs="Calibri"/>
                      <w:sz w:val="20"/>
                      <w:szCs w:val="20"/>
                    </w:rPr>
                  </w:pPr>
                </w:p>
                <w:p w14:paraId="4FBB4DB2" w14:textId="77777777" w:rsidR="00C70FD3" w:rsidRDefault="00C70FD3" w:rsidP="00C70FD3">
                  <w:pPr>
                    <w:kinsoku w:val="0"/>
                    <w:overflowPunct w:val="0"/>
                    <w:autoSpaceDE w:val="0"/>
                    <w:autoSpaceDN w:val="0"/>
                    <w:adjustRightInd w:val="0"/>
                    <w:spacing w:line="243" w:lineRule="exact"/>
                    <w:ind w:left="103"/>
                    <w:rPr>
                      <w:rFonts w:ascii="Calibri" w:eastAsiaTheme="minorHAnsi" w:hAnsi="Calibri" w:cs="Calibri"/>
                      <w:sz w:val="20"/>
                      <w:szCs w:val="20"/>
                    </w:rPr>
                  </w:pPr>
                </w:p>
                <w:p w14:paraId="09FD732A" w14:textId="2A0A7F1B" w:rsidR="00C70FD3" w:rsidRPr="00AD09C9" w:rsidRDefault="00C70FD3" w:rsidP="00C70FD3">
                  <w:pPr>
                    <w:kinsoku w:val="0"/>
                    <w:overflowPunct w:val="0"/>
                    <w:autoSpaceDE w:val="0"/>
                    <w:autoSpaceDN w:val="0"/>
                    <w:adjustRightInd w:val="0"/>
                    <w:spacing w:line="243" w:lineRule="exact"/>
                    <w:ind w:left="103"/>
                    <w:rPr>
                      <w:rFonts w:ascii="Calibri" w:eastAsiaTheme="minorHAnsi" w:hAnsi="Calibri" w:cs="Calibri"/>
                      <w:sz w:val="20"/>
                      <w:szCs w:val="20"/>
                    </w:rPr>
                  </w:pPr>
                </w:p>
              </w:tc>
            </w:tr>
          </w:tbl>
          <w:p w14:paraId="4AB37797" w14:textId="46AF3689" w:rsidR="00CF0DA9" w:rsidRPr="006527B1" w:rsidRDefault="00CF0DA9" w:rsidP="00AA54FB">
            <w:pPr>
              <w:rPr>
                <w:rFonts w:cs="Arial"/>
                <w:color w:val="000000" w:themeColor="text1"/>
                <w:sz w:val="20"/>
                <w:szCs w:val="20"/>
              </w:rPr>
            </w:pPr>
          </w:p>
        </w:tc>
      </w:tr>
      <w:tr w:rsidR="00F934EC" w:rsidRPr="006527B1" w14:paraId="1E24AF9D" w14:textId="77777777" w:rsidTr="00055713">
        <w:trPr>
          <w:trHeight w:val="115"/>
        </w:trPr>
        <w:tc>
          <w:tcPr>
            <w:tcW w:w="2831" w:type="dxa"/>
          </w:tcPr>
          <w:p w14:paraId="3E080703" w14:textId="4EF386E6" w:rsidR="00D31BCF" w:rsidRDefault="00D31BCF" w:rsidP="00D81D2F">
            <w:pPr>
              <w:rPr>
                <w:sz w:val="20"/>
                <w:szCs w:val="20"/>
              </w:rPr>
            </w:pPr>
          </w:p>
          <w:p w14:paraId="6F8B1499" w14:textId="77777777" w:rsidR="00C70FD3" w:rsidRDefault="00C70FD3" w:rsidP="00D81D2F">
            <w:pPr>
              <w:rPr>
                <w:sz w:val="20"/>
                <w:szCs w:val="20"/>
              </w:rPr>
            </w:pPr>
          </w:p>
          <w:p w14:paraId="05B7BCE8" w14:textId="28AE0A8B" w:rsidR="00D31BCF" w:rsidRDefault="00D31BCF" w:rsidP="00D81D2F">
            <w:pPr>
              <w:rPr>
                <w:sz w:val="20"/>
                <w:szCs w:val="20"/>
              </w:rPr>
            </w:pPr>
          </w:p>
          <w:p w14:paraId="1A57FE4D" w14:textId="77777777" w:rsidR="00D31BCF" w:rsidRDefault="00D31BCF" w:rsidP="00D81D2F">
            <w:pPr>
              <w:rPr>
                <w:sz w:val="20"/>
                <w:szCs w:val="20"/>
              </w:rPr>
            </w:pPr>
          </w:p>
          <w:p w14:paraId="4FCF0187" w14:textId="77777777" w:rsidR="00D31BCF" w:rsidRDefault="00D31BCF" w:rsidP="00D81D2F">
            <w:pPr>
              <w:rPr>
                <w:sz w:val="20"/>
                <w:szCs w:val="20"/>
              </w:rPr>
            </w:pPr>
          </w:p>
          <w:p w14:paraId="7B0B4B26" w14:textId="1585F9DB" w:rsidR="00F934EC" w:rsidRPr="006527B1" w:rsidRDefault="003D3517" w:rsidP="00D81D2F">
            <w:pPr>
              <w:rPr>
                <w:sz w:val="20"/>
                <w:szCs w:val="20"/>
              </w:rPr>
            </w:pPr>
            <w:r w:rsidRPr="006527B1">
              <w:rPr>
                <w:sz w:val="20"/>
                <w:szCs w:val="20"/>
              </w:rPr>
              <w:t>Incremental Cost</w:t>
            </w:r>
            <w:r w:rsidR="00F934EC" w:rsidRPr="006527B1">
              <w:rPr>
                <w:sz w:val="20"/>
                <w:szCs w:val="20"/>
              </w:rPr>
              <w:t xml:space="preserve"> – Measure </w:t>
            </w:r>
            <w:r w:rsidR="00136EEC" w:rsidRPr="006527B1">
              <w:rPr>
                <w:sz w:val="20"/>
                <w:szCs w:val="20"/>
              </w:rPr>
              <w:t>4</w:t>
            </w:r>
          </w:p>
        </w:tc>
        <w:tc>
          <w:tcPr>
            <w:tcW w:w="6756" w:type="dxa"/>
          </w:tcPr>
          <w:p w14:paraId="13771D81" w14:textId="3ABB33B5" w:rsidR="00EC35AC" w:rsidRDefault="00EC35AC" w:rsidP="00D81D2F">
            <w:pPr>
              <w:pStyle w:val="BodyText"/>
              <w:kinsoku w:val="0"/>
              <w:overflowPunct w:val="0"/>
              <w:spacing w:before="32" w:after="3"/>
              <w:ind w:right="2611"/>
            </w:pPr>
            <w:r>
              <w:t>Full and Incremental Costs (15 to 24ft</w:t>
            </w:r>
            <w:r>
              <w:rPr>
                <w:position w:val="10"/>
                <w:sz w:val="14"/>
                <w:szCs w:val="14"/>
              </w:rPr>
              <w:t>3</w:t>
            </w:r>
            <w:r>
              <w:t>)</w:t>
            </w:r>
          </w:p>
          <w:tbl>
            <w:tblPr>
              <w:tblW w:w="0" w:type="auto"/>
              <w:tblInd w:w="103" w:type="dxa"/>
              <w:tblCellMar>
                <w:left w:w="0" w:type="dxa"/>
                <w:right w:w="0" w:type="dxa"/>
              </w:tblCellMar>
              <w:tblLook w:val="0000" w:firstRow="0" w:lastRow="0" w:firstColumn="0" w:lastColumn="0" w:noHBand="0" w:noVBand="0"/>
            </w:tblPr>
            <w:tblGrid>
              <w:gridCol w:w="1133"/>
              <w:gridCol w:w="1875"/>
              <w:gridCol w:w="1669"/>
              <w:gridCol w:w="1750"/>
            </w:tblGrid>
            <w:tr w:rsidR="00EC35AC" w14:paraId="7CCA9F0C" w14:textId="77777777">
              <w:trPr>
                <w:trHeight w:hRule="exact" w:val="254"/>
              </w:trPr>
              <w:tc>
                <w:tcPr>
                  <w:tcW w:w="1286" w:type="dxa"/>
                  <w:vMerge w:val="restart"/>
                  <w:tcBorders>
                    <w:top w:val="single" w:sz="4" w:space="0" w:color="000000"/>
                    <w:left w:val="single" w:sz="4" w:space="0" w:color="000000"/>
                    <w:bottom w:val="single" w:sz="4" w:space="0" w:color="000000"/>
                    <w:right w:val="single" w:sz="4" w:space="0" w:color="000000"/>
                  </w:tcBorders>
                  <w:shd w:val="clear" w:color="auto" w:fill="D9D9D9"/>
                </w:tcPr>
                <w:p w14:paraId="188E1224" w14:textId="77777777" w:rsidR="00EC35AC" w:rsidRDefault="00EC35AC" w:rsidP="00EC35AC">
                  <w:pPr>
                    <w:pStyle w:val="TableParagraph"/>
                    <w:kinsoku w:val="0"/>
                    <w:overflowPunct w:val="0"/>
                    <w:spacing w:line="240" w:lineRule="auto"/>
                    <w:rPr>
                      <w:rFonts w:ascii="Times New Roman" w:hAnsi="Times New Roman" w:cs="Times New Roman"/>
                    </w:rPr>
                  </w:pPr>
                  <w:r>
                    <w:rPr>
                      <w:b/>
                      <w:bCs/>
                      <w:w w:val="95"/>
                      <w:sz w:val="20"/>
                      <w:szCs w:val="20"/>
                    </w:rPr>
                    <w:t xml:space="preserve">Installation </w:t>
                  </w:r>
                  <w:r>
                    <w:rPr>
                      <w:b/>
                      <w:bCs/>
                      <w:sz w:val="20"/>
                      <w:szCs w:val="20"/>
                    </w:rPr>
                    <w:t>Type</w:t>
                  </w:r>
                </w:p>
              </w:tc>
              <w:tc>
                <w:tcPr>
                  <w:tcW w:w="2764" w:type="dxa"/>
                  <w:vMerge w:val="restart"/>
                  <w:tcBorders>
                    <w:top w:val="single" w:sz="4" w:space="0" w:color="000000"/>
                    <w:left w:val="single" w:sz="4" w:space="0" w:color="000000"/>
                    <w:bottom w:val="single" w:sz="4" w:space="0" w:color="000000"/>
                    <w:right w:val="single" w:sz="4" w:space="0" w:color="000000"/>
                  </w:tcBorders>
                  <w:shd w:val="clear" w:color="auto" w:fill="D9D9D9"/>
                </w:tcPr>
                <w:p w14:paraId="1D5ABAC2" w14:textId="77777777" w:rsidR="00EC35AC" w:rsidRDefault="00EC35AC" w:rsidP="00EC35AC">
                  <w:pPr>
                    <w:pStyle w:val="TableParagraph"/>
                    <w:kinsoku w:val="0"/>
                    <w:overflowPunct w:val="0"/>
                    <w:rPr>
                      <w:rFonts w:ascii="Times New Roman" w:hAnsi="Times New Roman" w:cs="Times New Roman"/>
                    </w:rPr>
                  </w:pPr>
                  <w:r>
                    <w:rPr>
                      <w:b/>
                      <w:bCs/>
                      <w:sz w:val="20"/>
                      <w:szCs w:val="20"/>
                    </w:rPr>
                    <w:t>Incremental Measure Cost</w:t>
                  </w:r>
                </w:p>
              </w:tc>
              <w:tc>
                <w:tcPr>
                  <w:tcW w:w="5527" w:type="dxa"/>
                  <w:gridSpan w:val="2"/>
                  <w:tcBorders>
                    <w:top w:val="single" w:sz="4" w:space="0" w:color="000000"/>
                    <w:left w:val="single" w:sz="4" w:space="0" w:color="000000"/>
                    <w:bottom w:val="single" w:sz="4" w:space="0" w:color="000000"/>
                    <w:right w:val="single" w:sz="4" w:space="0" w:color="000000"/>
                  </w:tcBorders>
                  <w:shd w:val="clear" w:color="auto" w:fill="D9D9D9"/>
                </w:tcPr>
                <w:p w14:paraId="3CBB697C" w14:textId="77777777" w:rsidR="00EC35AC" w:rsidRDefault="00EC35AC" w:rsidP="00EC35AC">
                  <w:pPr>
                    <w:pStyle w:val="TableParagraph"/>
                    <w:kinsoku w:val="0"/>
                    <w:overflowPunct w:val="0"/>
                    <w:ind w:left="104"/>
                    <w:rPr>
                      <w:rFonts w:ascii="Times New Roman" w:hAnsi="Times New Roman" w:cs="Times New Roman"/>
                    </w:rPr>
                  </w:pPr>
                  <w:r>
                    <w:rPr>
                      <w:b/>
                      <w:bCs/>
                      <w:sz w:val="20"/>
                      <w:szCs w:val="20"/>
                    </w:rPr>
                    <w:t>Full Measure Cost</w:t>
                  </w:r>
                </w:p>
              </w:tc>
            </w:tr>
            <w:tr w:rsidR="00EC35AC" w14:paraId="779CD37E" w14:textId="77777777">
              <w:trPr>
                <w:trHeight w:hRule="exact" w:val="254"/>
              </w:trPr>
              <w:tc>
                <w:tcPr>
                  <w:tcW w:w="1286" w:type="dxa"/>
                  <w:vMerge/>
                  <w:tcBorders>
                    <w:top w:val="single" w:sz="4" w:space="0" w:color="000000"/>
                    <w:left w:val="single" w:sz="4" w:space="0" w:color="000000"/>
                    <w:bottom w:val="single" w:sz="4" w:space="0" w:color="000000"/>
                    <w:right w:val="single" w:sz="4" w:space="0" w:color="000000"/>
                  </w:tcBorders>
                  <w:shd w:val="clear" w:color="auto" w:fill="D9D9D9"/>
                </w:tcPr>
                <w:p w14:paraId="044489DF" w14:textId="77777777" w:rsidR="00EC35AC" w:rsidRDefault="00EC35AC" w:rsidP="00EC35AC">
                  <w:pPr>
                    <w:pStyle w:val="TableParagraph"/>
                    <w:kinsoku w:val="0"/>
                    <w:overflowPunct w:val="0"/>
                    <w:ind w:left="104"/>
                    <w:rPr>
                      <w:rFonts w:ascii="Times New Roman" w:hAnsi="Times New Roman" w:cs="Times New Roman"/>
                    </w:rPr>
                  </w:pPr>
                </w:p>
              </w:tc>
              <w:tc>
                <w:tcPr>
                  <w:tcW w:w="2764" w:type="dxa"/>
                  <w:vMerge/>
                  <w:tcBorders>
                    <w:top w:val="single" w:sz="4" w:space="0" w:color="000000"/>
                    <w:left w:val="single" w:sz="4" w:space="0" w:color="000000"/>
                    <w:bottom w:val="single" w:sz="4" w:space="0" w:color="000000"/>
                    <w:right w:val="single" w:sz="4" w:space="0" w:color="000000"/>
                  </w:tcBorders>
                  <w:shd w:val="clear" w:color="auto" w:fill="D9D9D9"/>
                </w:tcPr>
                <w:p w14:paraId="5469E2E3" w14:textId="77777777" w:rsidR="00EC35AC" w:rsidRDefault="00EC35AC" w:rsidP="00EC35AC">
                  <w:pPr>
                    <w:pStyle w:val="TableParagraph"/>
                    <w:kinsoku w:val="0"/>
                    <w:overflowPunct w:val="0"/>
                    <w:ind w:left="104"/>
                    <w:rPr>
                      <w:rFonts w:ascii="Times New Roman" w:hAnsi="Times New Roman" w:cs="Times New Roman"/>
                    </w:rPr>
                  </w:pPr>
                </w:p>
              </w:tc>
              <w:tc>
                <w:tcPr>
                  <w:tcW w:w="2675" w:type="dxa"/>
                  <w:tcBorders>
                    <w:top w:val="single" w:sz="4" w:space="0" w:color="000000"/>
                    <w:left w:val="single" w:sz="4" w:space="0" w:color="000000"/>
                    <w:bottom w:val="single" w:sz="4" w:space="0" w:color="000000"/>
                    <w:right w:val="single" w:sz="4" w:space="0" w:color="000000"/>
                  </w:tcBorders>
                  <w:shd w:val="clear" w:color="auto" w:fill="F1F1F1"/>
                </w:tcPr>
                <w:p w14:paraId="7D32051D" w14:textId="77777777" w:rsidR="00EC35AC" w:rsidRDefault="00EC35AC" w:rsidP="00EC35AC">
                  <w:pPr>
                    <w:pStyle w:val="TableParagraph"/>
                    <w:kinsoku w:val="0"/>
                    <w:overflowPunct w:val="0"/>
                    <w:ind w:left="104"/>
                    <w:rPr>
                      <w:rFonts w:ascii="Times New Roman" w:hAnsi="Times New Roman" w:cs="Times New Roman"/>
                    </w:rPr>
                  </w:pPr>
                  <w:r>
                    <w:rPr>
                      <w:b/>
                      <w:bCs/>
                      <w:sz w:val="20"/>
                      <w:szCs w:val="20"/>
                    </w:rPr>
                    <w:t>1</w:t>
                  </w:r>
                  <w:r>
                    <w:rPr>
                      <w:b/>
                      <w:bCs/>
                      <w:position w:val="10"/>
                      <w:sz w:val="13"/>
                      <w:szCs w:val="13"/>
                    </w:rPr>
                    <w:t xml:space="preserve">st </w:t>
                  </w:r>
                  <w:r>
                    <w:rPr>
                      <w:b/>
                      <w:bCs/>
                      <w:sz w:val="20"/>
                      <w:szCs w:val="20"/>
                    </w:rPr>
                    <w:t>Baseline</w:t>
                  </w:r>
                </w:p>
              </w:tc>
              <w:tc>
                <w:tcPr>
                  <w:tcW w:w="2852" w:type="dxa"/>
                  <w:tcBorders>
                    <w:top w:val="single" w:sz="4" w:space="0" w:color="000000"/>
                    <w:left w:val="single" w:sz="4" w:space="0" w:color="000000"/>
                    <w:bottom w:val="single" w:sz="4" w:space="0" w:color="000000"/>
                    <w:right w:val="single" w:sz="4" w:space="0" w:color="000000"/>
                  </w:tcBorders>
                  <w:shd w:val="clear" w:color="auto" w:fill="F1F1F1"/>
                </w:tcPr>
                <w:p w14:paraId="02FB23E6" w14:textId="77777777" w:rsidR="00EC35AC" w:rsidRDefault="00EC35AC" w:rsidP="00EC35AC">
                  <w:pPr>
                    <w:pStyle w:val="TableParagraph"/>
                    <w:kinsoku w:val="0"/>
                    <w:overflowPunct w:val="0"/>
                    <w:rPr>
                      <w:rFonts w:ascii="Times New Roman" w:hAnsi="Times New Roman" w:cs="Times New Roman"/>
                    </w:rPr>
                  </w:pPr>
                  <w:r>
                    <w:rPr>
                      <w:b/>
                      <w:bCs/>
                      <w:sz w:val="20"/>
                      <w:szCs w:val="20"/>
                    </w:rPr>
                    <w:t>2</w:t>
                  </w:r>
                  <w:r>
                    <w:rPr>
                      <w:b/>
                      <w:bCs/>
                      <w:position w:val="10"/>
                      <w:sz w:val="13"/>
                      <w:szCs w:val="13"/>
                    </w:rPr>
                    <w:t xml:space="preserve">nd </w:t>
                  </w:r>
                  <w:r>
                    <w:rPr>
                      <w:b/>
                      <w:bCs/>
                      <w:sz w:val="20"/>
                      <w:szCs w:val="20"/>
                    </w:rPr>
                    <w:t>Baseline</w:t>
                  </w:r>
                </w:p>
              </w:tc>
            </w:tr>
            <w:tr w:rsidR="00EC35AC" w14:paraId="1358E117" w14:textId="77777777">
              <w:trPr>
                <w:trHeight w:hRule="exact" w:val="254"/>
              </w:trPr>
              <w:tc>
                <w:tcPr>
                  <w:tcW w:w="1286" w:type="dxa"/>
                  <w:tcBorders>
                    <w:top w:val="single" w:sz="4" w:space="0" w:color="000000"/>
                    <w:left w:val="single" w:sz="4" w:space="0" w:color="000000"/>
                    <w:bottom w:val="single" w:sz="4" w:space="0" w:color="000000"/>
                    <w:right w:val="single" w:sz="4" w:space="0" w:color="000000"/>
                  </w:tcBorders>
                </w:tcPr>
                <w:p w14:paraId="566A77AB" w14:textId="4A1C53C0" w:rsidR="00EC35AC" w:rsidRDefault="00EC35AC" w:rsidP="00EC35AC">
                  <w:pPr>
                    <w:pStyle w:val="TableParagraph"/>
                    <w:kinsoku w:val="0"/>
                    <w:overflowPunct w:val="0"/>
                    <w:rPr>
                      <w:rFonts w:ascii="Times New Roman" w:hAnsi="Times New Roman" w:cs="Times New Roman"/>
                    </w:rPr>
                  </w:pPr>
                  <w:r>
                    <w:rPr>
                      <w:sz w:val="20"/>
                      <w:szCs w:val="20"/>
                    </w:rPr>
                    <w:t>RO</w:t>
                  </w:r>
                  <w:r w:rsidR="00D31BCF">
                    <w:rPr>
                      <w:sz w:val="20"/>
                      <w:szCs w:val="20"/>
                    </w:rPr>
                    <w:t>/</w:t>
                  </w:r>
                  <w:r>
                    <w:rPr>
                      <w:sz w:val="20"/>
                      <w:szCs w:val="20"/>
                    </w:rPr>
                    <w:t>BNC</w:t>
                  </w:r>
                </w:p>
              </w:tc>
              <w:tc>
                <w:tcPr>
                  <w:tcW w:w="2764" w:type="dxa"/>
                  <w:tcBorders>
                    <w:top w:val="single" w:sz="4" w:space="0" w:color="000000"/>
                    <w:left w:val="single" w:sz="4" w:space="0" w:color="000000"/>
                    <w:bottom w:val="single" w:sz="4" w:space="0" w:color="000000"/>
                    <w:right w:val="single" w:sz="4" w:space="0" w:color="000000"/>
                  </w:tcBorders>
                </w:tcPr>
                <w:p w14:paraId="4D7DC572" w14:textId="77777777" w:rsidR="00EC35AC" w:rsidRDefault="00EC35AC" w:rsidP="00EC35AC">
                  <w:pPr>
                    <w:pStyle w:val="TableParagraph"/>
                    <w:kinsoku w:val="0"/>
                    <w:overflowPunct w:val="0"/>
                    <w:rPr>
                      <w:rFonts w:ascii="Times New Roman" w:hAnsi="Times New Roman" w:cs="Times New Roman"/>
                    </w:rPr>
                  </w:pPr>
                  <w:r>
                    <w:rPr>
                      <w:sz w:val="20"/>
                      <w:szCs w:val="20"/>
                    </w:rPr>
                    <w:t>$2,135</w:t>
                  </w:r>
                </w:p>
              </w:tc>
              <w:tc>
                <w:tcPr>
                  <w:tcW w:w="2675" w:type="dxa"/>
                  <w:tcBorders>
                    <w:top w:val="single" w:sz="4" w:space="0" w:color="000000"/>
                    <w:left w:val="single" w:sz="4" w:space="0" w:color="000000"/>
                    <w:bottom w:val="single" w:sz="4" w:space="0" w:color="000000"/>
                    <w:right w:val="single" w:sz="4" w:space="0" w:color="000000"/>
                  </w:tcBorders>
                </w:tcPr>
                <w:p w14:paraId="6D0C7696" w14:textId="77777777" w:rsidR="00EC35AC" w:rsidRDefault="00EC35AC" w:rsidP="00EC35AC">
                  <w:pPr>
                    <w:pStyle w:val="TableParagraph"/>
                    <w:kinsoku w:val="0"/>
                    <w:overflowPunct w:val="0"/>
                    <w:ind w:left="104"/>
                    <w:rPr>
                      <w:rFonts w:ascii="Times New Roman" w:hAnsi="Times New Roman" w:cs="Times New Roman"/>
                    </w:rPr>
                  </w:pPr>
                  <w:r>
                    <w:rPr>
                      <w:sz w:val="20"/>
                      <w:szCs w:val="20"/>
                    </w:rPr>
                    <w:t>N/A</w:t>
                  </w:r>
                </w:p>
              </w:tc>
              <w:tc>
                <w:tcPr>
                  <w:tcW w:w="2852" w:type="dxa"/>
                  <w:tcBorders>
                    <w:top w:val="single" w:sz="4" w:space="0" w:color="000000"/>
                    <w:left w:val="single" w:sz="4" w:space="0" w:color="000000"/>
                    <w:bottom w:val="single" w:sz="4" w:space="0" w:color="000000"/>
                    <w:right w:val="single" w:sz="4" w:space="0" w:color="000000"/>
                  </w:tcBorders>
                </w:tcPr>
                <w:p w14:paraId="122E3FF9" w14:textId="77777777" w:rsidR="00EC35AC" w:rsidRDefault="00EC35AC" w:rsidP="00EC35AC">
                  <w:pPr>
                    <w:pStyle w:val="TableParagraph"/>
                    <w:kinsoku w:val="0"/>
                    <w:overflowPunct w:val="0"/>
                    <w:rPr>
                      <w:rFonts w:ascii="Times New Roman" w:hAnsi="Times New Roman" w:cs="Times New Roman"/>
                    </w:rPr>
                  </w:pPr>
                  <w:r>
                    <w:rPr>
                      <w:sz w:val="20"/>
                      <w:szCs w:val="20"/>
                    </w:rPr>
                    <w:t>N/A</w:t>
                  </w:r>
                </w:p>
              </w:tc>
            </w:tr>
          </w:tbl>
          <w:p w14:paraId="53BFFA95" w14:textId="3576D57D" w:rsidR="00EC35AC" w:rsidRDefault="00D31BCF" w:rsidP="00EC35AC">
            <w:pPr>
              <w:pStyle w:val="BodyText"/>
              <w:kinsoku w:val="0"/>
              <w:overflowPunct w:val="0"/>
              <w:spacing w:before="218"/>
              <w:ind w:right="2610"/>
            </w:pPr>
            <w:r>
              <w:t>Full and Incremental Costs (</w:t>
            </w:r>
            <w:r w:rsidR="00EC35AC">
              <w:t>24-29 ft</w:t>
            </w:r>
            <w:r w:rsidR="00EC35AC">
              <w:rPr>
                <w:position w:val="10"/>
                <w:sz w:val="14"/>
                <w:szCs w:val="14"/>
              </w:rPr>
              <w:t>3</w:t>
            </w:r>
            <w:r w:rsidR="00EC35AC">
              <w:t>)</w:t>
            </w:r>
          </w:p>
          <w:tbl>
            <w:tblPr>
              <w:tblW w:w="0" w:type="auto"/>
              <w:tblInd w:w="103" w:type="dxa"/>
              <w:tblCellMar>
                <w:left w:w="0" w:type="dxa"/>
                <w:right w:w="0" w:type="dxa"/>
              </w:tblCellMar>
              <w:tblLook w:val="0000" w:firstRow="0" w:lastRow="0" w:firstColumn="0" w:lastColumn="0" w:noHBand="0" w:noVBand="0"/>
            </w:tblPr>
            <w:tblGrid>
              <w:gridCol w:w="1133"/>
              <w:gridCol w:w="1875"/>
              <w:gridCol w:w="1669"/>
              <w:gridCol w:w="1750"/>
            </w:tblGrid>
            <w:tr w:rsidR="00EC35AC" w14:paraId="268AE191" w14:textId="77777777">
              <w:trPr>
                <w:trHeight w:hRule="exact" w:val="256"/>
              </w:trPr>
              <w:tc>
                <w:tcPr>
                  <w:tcW w:w="1286" w:type="dxa"/>
                  <w:vMerge w:val="restart"/>
                  <w:tcBorders>
                    <w:top w:val="single" w:sz="4" w:space="0" w:color="000000"/>
                    <w:left w:val="single" w:sz="4" w:space="0" w:color="000000"/>
                    <w:bottom w:val="single" w:sz="4" w:space="0" w:color="000000"/>
                    <w:right w:val="single" w:sz="4" w:space="0" w:color="000000"/>
                  </w:tcBorders>
                  <w:shd w:val="clear" w:color="auto" w:fill="D9D9D9"/>
                </w:tcPr>
                <w:p w14:paraId="06FD0E0F" w14:textId="77777777" w:rsidR="00EC35AC" w:rsidRDefault="00EC35AC" w:rsidP="00EC35AC">
                  <w:pPr>
                    <w:pStyle w:val="TableParagraph"/>
                    <w:kinsoku w:val="0"/>
                    <w:overflowPunct w:val="0"/>
                    <w:spacing w:before="1" w:line="240" w:lineRule="auto"/>
                    <w:rPr>
                      <w:rFonts w:ascii="Times New Roman" w:hAnsi="Times New Roman" w:cs="Times New Roman"/>
                    </w:rPr>
                  </w:pPr>
                  <w:r>
                    <w:rPr>
                      <w:b/>
                      <w:bCs/>
                      <w:w w:val="95"/>
                      <w:sz w:val="20"/>
                      <w:szCs w:val="20"/>
                    </w:rPr>
                    <w:t xml:space="preserve">Installation </w:t>
                  </w:r>
                  <w:r>
                    <w:rPr>
                      <w:b/>
                      <w:bCs/>
                      <w:sz w:val="20"/>
                      <w:szCs w:val="20"/>
                    </w:rPr>
                    <w:t>Type</w:t>
                  </w:r>
                </w:p>
              </w:tc>
              <w:tc>
                <w:tcPr>
                  <w:tcW w:w="2764" w:type="dxa"/>
                  <w:vMerge w:val="restart"/>
                  <w:tcBorders>
                    <w:top w:val="single" w:sz="4" w:space="0" w:color="000000"/>
                    <w:left w:val="single" w:sz="4" w:space="0" w:color="000000"/>
                    <w:bottom w:val="single" w:sz="4" w:space="0" w:color="000000"/>
                    <w:right w:val="single" w:sz="4" w:space="0" w:color="000000"/>
                  </w:tcBorders>
                  <w:shd w:val="clear" w:color="auto" w:fill="D9D9D9"/>
                </w:tcPr>
                <w:p w14:paraId="35110674" w14:textId="77777777" w:rsidR="00EC35AC" w:rsidRDefault="00EC35AC" w:rsidP="00EC35AC">
                  <w:pPr>
                    <w:pStyle w:val="TableParagraph"/>
                    <w:kinsoku w:val="0"/>
                    <w:overflowPunct w:val="0"/>
                    <w:spacing w:before="1" w:line="240" w:lineRule="auto"/>
                    <w:rPr>
                      <w:rFonts w:ascii="Times New Roman" w:hAnsi="Times New Roman" w:cs="Times New Roman"/>
                    </w:rPr>
                  </w:pPr>
                  <w:r>
                    <w:rPr>
                      <w:b/>
                      <w:bCs/>
                      <w:sz w:val="20"/>
                      <w:szCs w:val="20"/>
                    </w:rPr>
                    <w:t>Incremental Measure Cost</w:t>
                  </w:r>
                </w:p>
              </w:tc>
              <w:tc>
                <w:tcPr>
                  <w:tcW w:w="5527" w:type="dxa"/>
                  <w:gridSpan w:val="2"/>
                  <w:tcBorders>
                    <w:top w:val="single" w:sz="4" w:space="0" w:color="000000"/>
                    <w:left w:val="single" w:sz="4" w:space="0" w:color="000000"/>
                    <w:bottom w:val="single" w:sz="4" w:space="0" w:color="000000"/>
                    <w:right w:val="single" w:sz="4" w:space="0" w:color="000000"/>
                  </w:tcBorders>
                  <w:shd w:val="clear" w:color="auto" w:fill="D9D9D9"/>
                </w:tcPr>
                <w:p w14:paraId="69316209" w14:textId="77777777" w:rsidR="00EC35AC" w:rsidRDefault="00EC35AC" w:rsidP="00EC35AC">
                  <w:pPr>
                    <w:pStyle w:val="TableParagraph"/>
                    <w:kinsoku w:val="0"/>
                    <w:overflowPunct w:val="0"/>
                    <w:spacing w:before="1" w:line="240" w:lineRule="auto"/>
                    <w:ind w:left="104"/>
                    <w:rPr>
                      <w:rFonts w:ascii="Times New Roman" w:hAnsi="Times New Roman" w:cs="Times New Roman"/>
                    </w:rPr>
                  </w:pPr>
                  <w:r>
                    <w:rPr>
                      <w:b/>
                      <w:bCs/>
                      <w:sz w:val="20"/>
                      <w:szCs w:val="20"/>
                    </w:rPr>
                    <w:t>Full Measure Cost</w:t>
                  </w:r>
                </w:p>
              </w:tc>
            </w:tr>
            <w:tr w:rsidR="00EC35AC" w14:paraId="3491C163" w14:textId="77777777">
              <w:trPr>
                <w:trHeight w:hRule="exact" w:val="253"/>
              </w:trPr>
              <w:tc>
                <w:tcPr>
                  <w:tcW w:w="1286" w:type="dxa"/>
                  <w:vMerge/>
                  <w:tcBorders>
                    <w:top w:val="single" w:sz="4" w:space="0" w:color="000000"/>
                    <w:left w:val="single" w:sz="4" w:space="0" w:color="000000"/>
                    <w:bottom w:val="single" w:sz="4" w:space="0" w:color="000000"/>
                    <w:right w:val="single" w:sz="4" w:space="0" w:color="000000"/>
                  </w:tcBorders>
                  <w:shd w:val="clear" w:color="auto" w:fill="D9D9D9"/>
                </w:tcPr>
                <w:p w14:paraId="38FC398A" w14:textId="77777777" w:rsidR="00EC35AC" w:rsidRDefault="00EC35AC" w:rsidP="00EC35AC">
                  <w:pPr>
                    <w:pStyle w:val="TableParagraph"/>
                    <w:kinsoku w:val="0"/>
                    <w:overflowPunct w:val="0"/>
                    <w:spacing w:before="1" w:line="240" w:lineRule="auto"/>
                    <w:ind w:left="104"/>
                    <w:rPr>
                      <w:rFonts w:ascii="Times New Roman" w:hAnsi="Times New Roman" w:cs="Times New Roman"/>
                    </w:rPr>
                  </w:pPr>
                </w:p>
              </w:tc>
              <w:tc>
                <w:tcPr>
                  <w:tcW w:w="2764" w:type="dxa"/>
                  <w:vMerge/>
                  <w:tcBorders>
                    <w:top w:val="single" w:sz="4" w:space="0" w:color="000000"/>
                    <w:left w:val="single" w:sz="4" w:space="0" w:color="000000"/>
                    <w:bottom w:val="single" w:sz="4" w:space="0" w:color="000000"/>
                    <w:right w:val="single" w:sz="4" w:space="0" w:color="000000"/>
                  </w:tcBorders>
                  <w:shd w:val="clear" w:color="auto" w:fill="D9D9D9"/>
                </w:tcPr>
                <w:p w14:paraId="3F383002" w14:textId="77777777" w:rsidR="00EC35AC" w:rsidRDefault="00EC35AC" w:rsidP="00EC35AC">
                  <w:pPr>
                    <w:pStyle w:val="TableParagraph"/>
                    <w:kinsoku w:val="0"/>
                    <w:overflowPunct w:val="0"/>
                    <w:spacing w:before="1" w:line="240" w:lineRule="auto"/>
                    <w:ind w:left="104"/>
                    <w:rPr>
                      <w:rFonts w:ascii="Times New Roman" w:hAnsi="Times New Roman" w:cs="Times New Roman"/>
                    </w:rPr>
                  </w:pPr>
                </w:p>
              </w:tc>
              <w:tc>
                <w:tcPr>
                  <w:tcW w:w="2675" w:type="dxa"/>
                  <w:tcBorders>
                    <w:top w:val="single" w:sz="4" w:space="0" w:color="000000"/>
                    <w:left w:val="single" w:sz="4" w:space="0" w:color="000000"/>
                    <w:bottom w:val="single" w:sz="4" w:space="0" w:color="000000"/>
                    <w:right w:val="single" w:sz="4" w:space="0" w:color="000000"/>
                  </w:tcBorders>
                  <w:shd w:val="clear" w:color="auto" w:fill="F1F1F1"/>
                </w:tcPr>
                <w:p w14:paraId="6996A480" w14:textId="77777777" w:rsidR="00EC35AC" w:rsidRDefault="00EC35AC" w:rsidP="00EC35AC">
                  <w:pPr>
                    <w:pStyle w:val="TableParagraph"/>
                    <w:kinsoku w:val="0"/>
                    <w:overflowPunct w:val="0"/>
                    <w:spacing w:line="245" w:lineRule="exact"/>
                    <w:ind w:left="104"/>
                    <w:rPr>
                      <w:rFonts w:ascii="Times New Roman" w:hAnsi="Times New Roman" w:cs="Times New Roman"/>
                    </w:rPr>
                  </w:pPr>
                  <w:r>
                    <w:rPr>
                      <w:b/>
                      <w:bCs/>
                      <w:sz w:val="20"/>
                      <w:szCs w:val="20"/>
                    </w:rPr>
                    <w:t>1</w:t>
                  </w:r>
                  <w:r>
                    <w:rPr>
                      <w:b/>
                      <w:bCs/>
                      <w:position w:val="10"/>
                      <w:sz w:val="13"/>
                      <w:szCs w:val="13"/>
                    </w:rPr>
                    <w:t xml:space="preserve">st </w:t>
                  </w:r>
                  <w:r>
                    <w:rPr>
                      <w:b/>
                      <w:bCs/>
                      <w:sz w:val="20"/>
                      <w:szCs w:val="20"/>
                    </w:rPr>
                    <w:t>Baseline</w:t>
                  </w:r>
                </w:p>
              </w:tc>
              <w:tc>
                <w:tcPr>
                  <w:tcW w:w="2852" w:type="dxa"/>
                  <w:tcBorders>
                    <w:top w:val="single" w:sz="4" w:space="0" w:color="000000"/>
                    <w:left w:val="single" w:sz="4" w:space="0" w:color="000000"/>
                    <w:bottom w:val="single" w:sz="4" w:space="0" w:color="000000"/>
                    <w:right w:val="single" w:sz="4" w:space="0" w:color="000000"/>
                  </w:tcBorders>
                  <w:shd w:val="clear" w:color="auto" w:fill="F1F1F1"/>
                </w:tcPr>
                <w:p w14:paraId="5331B24B" w14:textId="77777777" w:rsidR="00EC35AC" w:rsidRDefault="00EC35AC" w:rsidP="00EC35AC">
                  <w:pPr>
                    <w:pStyle w:val="TableParagraph"/>
                    <w:kinsoku w:val="0"/>
                    <w:overflowPunct w:val="0"/>
                    <w:spacing w:line="245" w:lineRule="exact"/>
                    <w:rPr>
                      <w:rFonts w:ascii="Times New Roman" w:hAnsi="Times New Roman" w:cs="Times New Roman"/>
                    </w:rPr>
                  </w:pPr>
                  <w:r>
                    <w:rPr>
                      <w:b/>
                      <w:bCs/>
                      <w:sz w:val="20"/>
                      <w:szCs w:val="20"/>
                    </w:rPr>
                    <w:t>2</w:t>
                  </w:r>
                  <w:r>
                    <w:rPr>
                      <w:b/>
                      <w:bCs/>
                      <w:position w:val="10"/>
                      <w:sz w:val="13"/>
                      <w:szCs w:val="13"/>
                    </w:rPr>
                    <w:t xml:space="preserve">nd </w:t>
                  </w:r>
                  <w:r>
                    <w:rPr>
                      <w:b/>
                      <w:bCs/>
                      <w:sz w:val="20"/>
                      <w:szCs w:val="20"/>
                    </w:rPr>
                    <w:t>Baseline</w:t>
                  </w:r>
                </w:p>
              </w:tc>
            </w:tr>
            <w:tr w:rsidR="00EC35AC" w14:paraId="06A4EA14" w14:textId="77777777">
              <w:trPr>
                <w:trHeight w:hRule="exact" w:val="254"/>
              </w:trPr>
              <w:tc>
                <w:tcPr>
                  <w:tcW w:w="1286" w:type="dxa"/>
                  <w:tcBorders>
                    <w:top w:val="single" w:sz="4" w:space="0" w:color="000000"/>
                    <w:left w:val="single" w:sz="4" w:space="0" w:color="000000"/>
                    <w:bottom w:val="single" w:sz="4" w:space="0" w:color="000000"/>
                    <w:right w:val="single" w:sz="4" w:space="0" w:color="000000"/>
                  </w:tcBorders>
                </w:tcPr>
                <w:p w14:paraId="56B4BA25" w14:textId="219807DC" w:rsidR="00EC35AC" w:rsidRDefault="00EC35AC" w:rsidP="00EC35AC">
                  <w:pPr>
                    <w:pStyle w:val="TableParagraph"/>
                    <w:kinsoku w:val="0"/>
                    <w:overflowPunct w:val="0"/>
                    <w:rPr>
                      <w:rFonts w:ascii="Times New Roman" w:hAnsi="Times New Roman" w:cs="Times New Roman"/>
                    </w:rPr>
                  </w:pPr>
                  <w:r>
                    <w:rPr>
                      <w:sz w:val="20"/>
                      <w:szCs w:val="20"/>
                    </w:rPr>
                    <w:t>ROB</w:t>
                  </w:r>
                  <w:r w:rsidR="00D31BCF">
                    <w:rPr>
                      <w:sz w:val="20"/>
                      <w:szCs w:val="20"/>
                    </w:rPr>
                    <w:t>/</w:t>
                  </w:r>
                  <w:r>
                    <w:rPr>
                      <w:sz w:val="20"/>
                      <w:szCs w:val="20"/>
                    </w:rPr>
                    <w:t>NC</w:t>
                  </w:r>
                </w:p>
              </w:tc>
              <w:tc>
                <w:tcPr>
                  <w:tcW w:w="2764" w:type="dxa"/>
                  <w:tcBorders>
                    <w:top w:val="single" w:sz="4" w:space="0" w:color="000000"/>
                    <w:left w:val="single" w:sz="4" w:space="0" w:color="000000"/>
                    <w:bottom w:val="single" w:sz="4" w:space="0" w:color="000000"/>
                    <w:right w:val="single" w:sz="4" w:space="0" w:color="000000"/>
                  </w:tcBorders>
                </w:tcPr>
                <w:p w14:paraId="6E560CB5" w14:textId="77777777" w:rsidR="00EC35AC" w:rsidRDefault="00EC35AC" w:rsidP="00EC35AC">
                  <w:pPr>
                    <w:pStyle w:val="TableParagraph"/>
                    <w:kinsoku w:val="0"/>
                    <w:overflowPunct w:val="0"/>
                    <w:rPr>
                      <w:rFonts w:ascii="Times New Roman" w:hAnsi="Times New Roman" w:cs="Times New Roman"/>
                    </w:rPr>
                  </w:pPr>
                  <w:r>
                    <w:rPr>
                      <w:sz w:val="20"/>
                      <w:szCs w:val="20"/>
                    </w:rPr>
                    <w:t>$1,790</w:t>
                  </w:r>
                </w:p>
              </w:tc>
              <w:tc>
                <w:tcPr>
                  <w:tcW w:w="2675" w:type="dxa"/>
                  <w:tcBorders>
                    <w:top w:val="single" w:sz="4" w:space="0" w:color="000000"/>
                    <w:left w:val="single" w:sz="4" w:space="0" w:color="000000"/>
                    <w:bottom w:val="single" w:sz="4" w:space="0" w:color="000000"/>
                    <w:right w:val="single" w:sz="4" w:space="0" w:color="000000"/>
                  </w:tcBorders>
                </w:tcPr>
                <w:p w14:paraId="763271D7" w14:textId="77777777" w:rsidR="00EC35AC" w:rsidRDefault="00EC35AC" w:rsidP="00EC35AC">
                  <w:pPr>
                    <w:pStyle w:val="TableParagraph"/>
                    <w:kinsoku w:val="0"/>
                    <w:overflowPunct w:val="0"/>
                    <w:ind w:left="104"/>
                    <w:rPr>
                      <w:rFonts w:ascii="Times New Roman" w:hAnsi="Times New Roman" w:cs="Times New Roman"/>
                    </w:rPr>
                  </w:pPr>
                  <w:r>
                    <w:rPr>
                      <w:sz w:val="20"/>
                      <w:szCs w:val="20"/>
                    </w:rPr>
                    <w:t>N/A</w:t>
                  </w:r>
                </w:p>
              </w:tc>
              <w:tc>
                <w:tcPr>
                  <w:tcW w:w="2852" w:type="dxa"/>
                  <w:tcBorders>
                    <w:top w:val="single" w:sz="4" w:space="0" w:color="000000"/>
                    <w:left w:val="single" w:sz="4" w:space="0" w:color="000000"/>
                    <w:bottom w:val="single" w:sz="4" w:space="0" w:color="000000"/>
                    <w:right w:val="single" w:sz="4" w:space="0" w:color="000000"/>
                  </w:tcBorders>
                </w:tcPr>
                <w:p w14:paraId="08462923" w14:textId="77777777" w:rsidR="00EC35AC" w:rsidRDefault="00EC35AC" w:rsidP="00EC35AC">
                  <w:pPr>
                    <w:pStyle w:val="TableParagraph"/>
                    <w:kinsoku w:val="0"/>
                    <w:overflowPunct w:val="0"/>
                    <w:rPr>
                      <w:rFonts w:ascii="Times New Roman" w:hAnsi="Times New Roman" w:cs="Times New Roman"/>
                    </w:rPr>
                  </w:pPr>
                  <w:r>
                    <w:rPr>
                      <w:sz w:val="20"/>
                      <w:szCs w:val="20"/>
                    </w:rPr>
                    <w:t>N/A</w:t>
                  </w:r>
                </w:p>
              </w:tc>
            </w:tr>
          </w:tbl>
          <w:p w14:paraId="7B4EEE9B" w14:textId="41308E34" w:rsidR="00F934EC" w:rsidRPr="006527B1" w:rsidRDefault="00F934EC" w:rsidP="0025623A">
            <w:pPr>
              <w:rPr>
                <w:color w:val="000000" w:themeColor="text1"/>
                <w:sz w:val="20"/>
                <w:szCs w:val="20"/>
              </w:rPr>
            </w:pPr>
          </w:p>
        </w:tc>
      </w:tr>
    </w:tbl>
    <w:p w14:paraId="01721B88" w14:textId="40B8D429" w:rsidR="000F5531" w:rsidRPr="006527B1" w:rsidRDefault="000F5531" w:rsidP="000D7357">
      <w:pPr>
        <w:pStyle w:val="Heading2"/>
        <w:rPr>
          <w:rFonts w:asciiTheme="minorHAnsi" w:hAnsiTheme="minorHAnsi"/>
          <w:sz w:val="20"/>
          <w:szCs w:val="20"/>
        </w:rPr>
      </w:pPr>
      <w:bookmarkStart w:id="10" w:name="_GoBack"/>
      <w:bookmarkEnd w:id="2"/>
      <w:bookmarkEnd w:id="10"/>
    </w:p>
    <w:sectPr w:rsidR="000F5531" w:rsidRPr="006527B1" w:rsidSect="002F49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6DA55" w14:textId="77777777" w:rsidR="00981AFF" w:rsidRDefault="00981AFF" w:rsidP="00FE520B">
      <w:r>
        <w:separator/>
      </w:r>
    </w:p>
  </w:endnote>
  <w:endnote w:type="continuationSeparator" w:id="0">
    <w:p w14:paraId="6811FAED" w14:textId="77777777" w:rsidR="00981AFF" w:rsidRDefault="00981AFF"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055B9" w14:textId="3B003E82" w:rsidR="0011580A" w:rsidRDefault="002C120D" w:rsidP="00BF7104">
    <w:pPr>
      <w:pStyle w:val="Footer"/>
      <w:jc w:val="right"/>
      <w:rPr>
        <w:rFonts w:cstheme="minorHAnsi"/>
        <w:b/>
        <w:sz w:val="36"/>
        <w:szCs w:val="36"/>
      </w:rPr>
    </w:pPr>
    <w:sdt>
      <w:sdtPr>
        <w:rPr>
          <w:rFonts w:cstheme="minorHAnsi"/>
          <w:b/>
          <w:sz w:val="36"/>
          <w:szCs w:val="36"/>
        </w:rPr>
        <w:alias w:val="Date"/>
        <w:tag w:val=""/>
        <w:id w:val="2115088896"/>
        <w:showingPlcHdr/>
        <w:dataBinding w:prefixMappings="xmlns:ns0='http://schemas.microsoft.com/office/2006/coverPageProps' " w:xpath="/ns0:CoverPageProperties[1]/ns0:PublishDate[1]" w:storeItemID="{55AF091B-3C7A-41E3-B477-F2FDAA23CFDA}"/>
        <w:date w:fullDate="2015-12-23T00:00:00Z">
          <w:dateFormat w:val="MMMM d, yyyy"/>
          <w:lid w:val="en-US"/>
          <w:storeMappedDataAs w:val="dateTime"/>
          <w:calendar w:val="gregorian"/>
        </w:date>
      </w:sdtPr>
      <w:sdtEndPr/>
      <w:sdtContent>
        <w:r w:rsidR="0011580A">
          <w:rPr>
            <w:rFonts w:cstheme="minorHAnsi"/>
            <w:b/>
            <w:sz w:val="36"/>
            <w:szCs w:val="36"/>
          </w:rPr>
          <w:t xml:space="preserve">     </w:t>
        </w:r>
      </w:sdtContent>
    </w:sdt>
  </w:p>
  <w:p w14:paraId="09558C54" w14:textId="17BC60A7" w:rsidR="0011580A" w:rsidRPr="004A6977" w:rsidRDefault="0011580A" w:rsidP="00D81D2F">
    <w:pPr>
      <w:pStyle w:val="Footer"/>
      <w:pBdr>
        <w:top w:val="single" w:sz="4" w:space="1" w:color="auto"/>
      </w:pBdr>
      <w:rPr>
        <w:b/>
      </w:rPr>
    </w:pPr>
    <w:r>
      <w:rPr>
        <w:b/>
      </w:rPr>
      <w:t xml:space="preserve">Work Paper WPSDGENRRN0016 </w:t>
    </w:r>
    <w:r w:rsidRPr="00D81D2F">
      <w:rPr>
        <w:b/>
      </w:rPr>
      <w:t>Revision 0</w:t>
    </w:r>
    <w:r w:rsidRPr="004A6977">
      <w:rPr>
        <w:b/>
      </w:rPr>
      <w:tab/>
    </w:r>
    <w:r>
      <w:rPr>
        <w:b/>
      </w:rPr>
      <w:tab/>
    </w:r>
    <w:r w:rsidR="002C120D">
      <w:rPr>
        <w:b/>
      </w:rPr>
      <w:t xml:space="preserve">October </w:t>
    </w:r>
    <w:r>
      <w:rPr>
        <w:b/>
      </w:rPr>
      <w:t>5, 2017</w:t>
    </w:r>
  </w:p>
  <w:p w14:paraId="31F51835" w14:textId="4344746A" w:rsidR="0011580A" w:rsidRPr="004A6977" w:rsidRDefault="0011580A" w:rsidP="007A725B">
    <w:pPr>
      <w:pStyle w:val="Footer"/>
      <w:rPr>
        <w:b/>
      </w:rPr>
    </w:pPr>
    <w:r w:rsidRPr="004A6977">
      <w:rPr>
        <w:b/>
      </w:rPr>
      <w:t>San Diego Gas &amp; Electric</w:t>
    </w:r>
    <w:r w:rsidRPr="004A6977">
      <w:rPr>
        <w:b/>
      </w:rPr>
      <w:tab/>
    </w:r>
    <w:r w:rsidRPr="004A6977">
      <w:rPr>
        <w:b/>
      </w:rPr>
      <w:tab/>
      <w:t xml:space="preserve">page </w:t>
    </w:r>
    <w:r w:rsidRPr="004A6977">
      <w:rPr>
        <w:b/>
      </w:rPr>
      <w:fldChar w:fldCharType="begin"/>
    </w:r>
    <w:r w:rsidRPr="004A6977">
      <w:rPr>
        <w:b/>
      </w:rPr>
      <w:instrText xml:space="preserve"> PAGE   \* MERGEFORMAT </w:instrText>
    </w:r>
    <w:r w:rsidRPr="004A6977">
      <w:rPr>
        <w:b/>
      </w:rPr>
      <w:fldChar w:fldCharType="separate"/>
    </w:r>
    <w:r w:rsidR="002C120D">
      <w:rPr>
        <w:b/>
        <w:noProof/>
      </w:rPr>
      <w:t>2</w:t>
    </w:r>
    <w:r w:rsidRPr="004A6977">
      <w:rPr>
        <w:b/>
        <w:noProof/>
      </w:rPr>
      <w:fldChar w:fldCharType="end"/>
    </w:r>
    <w:r w:rsidRPr="004A6977">
      <w:rPr>
        <w:b/>
        <w:noProof/>
      </w:rPr>
      <w:t xml:space="preserve"> of </w:t>
    </w:r>
    <w:r>
      <w:rPr>
        <w:b/>
        <w:noProof/>
      </w:rPr>
      <w:t>5</w:t>
    </w:r>
  </w:p>
  <w:p w14:paraId="22AE6ABE" w14:textId="77777777" w:rsidR="0011580A" w:rsidRPr="009500DC" w:rsidRDefault="0011580A" w:rsidP="00BF7104">
    <w:pPr>
      <w:pStyle w:val="Footer"/>
      <w:jc w:val="right"/>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002F2" w14:textId="77777777" w:rsidR="00981AFF" w:rsidRDefault="00981AFF" w:rsidP="00FE520B">
      <w:r>
        <w:separator/>
      </w:r>
    </w:p>
  </w:footnote>
  <w:footnote w:type="continuationSeparator" w:id="0">
    <w:p w14:paraId="1FBA45B4" w14:textId="77777777" w:rsidR="00981AFF" w:rsidRDefault="00981AFF"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901136"/>
    <w:lvl w:ilvl="0">
      <w:start w:val="1"/>
      <w:numFmt w:val="decimal"/>
      <w:lvlText w:val="%1."/>
      <w:lvlJc w:val="left"/>
      <w:pPr>
        <w:tabs>
          <w:tab w:val="num" w:pos="1800"/>
        </w:tabs>
        <w:ind w:left="1800" w:hanging="360"/>
      </w:pPr>
    </w:lvl>
  </w:abstractNum>
  <w:abstractNum w:abstractNumId="1" w15:restartNumberingAfterBreak="0">
    <w:nsid w:val="097D3701"/>
    <w:multiLevelType w:val="hybridMultilevel"/>
    <w:tmpl w:val="DF9AD1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9B2A3D"/>
    <w:multiLevelType w:val="hybridMultilevel"/>
    <w:tmpl w:val="39200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E50C2C"/>
    <w:multiLevelType w:val="hybridMultilevel"/>
    <w:tmpl w:val="4E72E94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5C19D9"/>
    <w:multiLevelType w:val="multilevel"/>
    <w:tmpl w:val="DCAC44A6"/>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5"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047623"/>
    <w:multiLevelType w:val="hybridMultilevel"/>
    <w:tmpl w:val="DD185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877138"/>
    <w:multiLevelType w:val="hybridMultilevel"/>
    <w:tmpl w:val="8AB827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pStyle w:val="WPPR2"/>
      <w:lvlText w:val="%4."/>
      <w:lvlJc w:val="left"/>
      <w:pPr>
        <w:ind w:left="2880" w:hanging="360"/>
      </w:pPr>
    </w:lvl>
    <w:lvl w:ilvl="4" w:tplc="04090019" w:tentative="1">
      <w:start w:val="1"/>
      <w:numFmt w:val="lowerLetter"/>
      <w:pStyle w:val="WPPR3"/>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4316BA"/>
    <w:multiLevelType w:val="multilevel"/>
    <w:tmpl w:val="407435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ADF5B3C"/>
    <w:multiLevelType w:val="hybridMultilevel"/>
    <w:tmpl w:val="3CFAA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881DEE"/>
    <w:multiLevelType w:val="hybridMultilevel"/>
    <w:tmpl w:val="3CFAA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D82E78"/>
    <w:multiLevelType w:val="hybridMultilevel"/>
    <w:tmpl w:val="FB2EC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4A670D"/>
    <w:multiLevelType w:val="hybridMultilevel"/>
    <w:tmpl w:val="49CA2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21731C"/>
    <w:multiLevelType w:val="hybridMultilevel"/>
    <w:tmpl w:val="8F5EA138"/>
    <w:lvl w:ilvl="0" w:tplc="6D1C5CCC">
      <w:start w:val="3"/>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696663"/>
    <w:multiLevelType w:val="hybridMultilevel"/>
    <w:tmpl w:val="494A2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B6B48CB"/>
    <w:multiLevelType w:val="hybridMultilevel"/>
    <w:tmpl w:val="3CFAA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7F597A"/>
    <w:multiLevelType w:val="hybridMultilevel"/>
    <w:tmpl w:val="F1F015EA"/>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9"/>
  </w:num>
  <w:num w:numId="3">
    <w:abstractNumId w:val="5"/>
  </w:num>
  <w:num w:numId="4">
    <w:abstractNumId w:val="14"/>
  </w:num>
  <w:num w:numId="5">
    <w:abstractNumId w:val="16"/>
  </w:num>
  <w:num w:numId="6">
    <w:abstractNumId w:val="4"/>
  </w:num>
  <w:num w:numId="7">
    <w:abstractNumId w:val="18"/>
  </w:num>
  <w:num w:numId="8">
    <w:abstractNumId w:val="21"/>
  </w:num>
  <w:num w:numId="9">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0"/>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4">
    <w:abstractNumId w:val="3"/>
  </w:num>
  <w:num w:numId="15">
    <w:abstractNumId w:val="4"/>
    <w:lvlOverride w:ilvl="0">
      <w:startOverride w:val="1"/>
    </w:lvlOverride>
    <w:lvlOverride w:ilvl="1">
      <w:startOverride w:val="1"/>
    </w:lvlOverride>
    <w:lvlOverride w:ilvl="2">
      <w:startOverride w:val="1"/>
    </w:lvlOverride>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0"/>
  </w:num>
  <w:num w:numId="20">
    <w:abstractNumId w:val="22"/>
  </w:num>
  <w:num w:numId="21">
    <w:abstractNumId w:val="6"/>
  </w:num>
  <w:num w:numId="22">
    <w:abstractNumId w:val="12"/>
  </w:num>
  <w:num w:numId="23">
    <w:abstractNumId w:val="19"/>
  </w:num>
  <w:num w:numId="24">
    <w:abstractNumId w:val="13"/>
  </w:num>
  <w:num w:numId="25">
    <w:abstractNumId w:val="20"/>
  </w:num>
  <w:num w:numId="26">
    <w:abstractNumId w:val="17"/>
  </w:num>
  <w:num w:numId="27">
    <w:abstractNumId w:val="1"/>
  </w:num>
  <w:num w:numId="28">
    <w:abstractNumId w:val="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100D2"/>
    <w:rsid w:val="00024946"/>
    <w:rsid w:val="00030310"/>
    <w:rsid w:val="00033394"/>
    <w:rsid w:val="00042383"/>
    <w:rsid w:val="000467FD"/>
    <w:rsid w:val="00047473"/>
    <w:rsid w:val="00050C01"/>
    <w:rsid w:val="00052743"/>
    <w:rsid w:val="00052CE4"/>
    <w:rsid w:val="00055713"/>
    <w:rsid w:val="00060A50"/>
    <w:rsid w:val="00071E10"/>
    <w:rsid w:val="000821DF"/>
    <w:rsid w:val="00094401"/>
    <w:rsid w:val="000A602F"/>
    <w:rsid w:val="000B17A7"/>
    <w:rsid w:val="000D6DEF"/>
    <w:rsid w:val="000D7357"/>
    <w:rsid w:val="000E2E9B"/>
    <w:rsid w:val="000F5531"/>
    <w:rsid w:val="000F72EF"/>
    <w:rsid w:val="001075D8"/>
    <w:rsid w:val="001104CA"/>
    <w:rsid w:val="0011063E"/>
    <w:rsid w:val="0011580A"/>
    <w:rsid w:val="001158E9"/>
    <w:rsid w:val="00124766"/>
    <w:rsid w:val="00125989"/>
    <w:rsid w:val="001259FE"/>
    <w:rsid w:val="0012738E"/>
    <w:rsid w:val="00136EEC"/>
    <w:rsid w:val="0018635C"/>
    <w:rsid w:val="001879C7"/>
    <w:rsid w:val="00191296"/>
    <w:rsid w:val="00192ACF"/>
    <w:rsid w:val="00193E56"/>
    <w:rsid w:val="001953D4"/>
    <w:rsid w:val="001B3C29"/>
    <w:rsid w:val="001D0AC5"/>
    <w:rsid w:val="001E4B3A"/>
    <w:rsid w:val="001E5E5C"/>
    <w:rsid w:val="001E6FF4"/>
    <w:rsid w:val="001F21C7"/>
    <w:rsid w:val="001F3885"/>
    <w:rsid w:val="002057A3"/>
    <w:rsid w:val="0021346C"/>
    <w:rsid w:val="002137EC"/>
    <w:rsid w:val="00226262"/>
    <w:rsid w:val="00236DA6"/>
    <w:rsid w:val="0025623A"/>
    <w:rsid w:val="002648E8"/>
    <w:rsid w:val="0026507C"/>
    <w:rsid w:val="00275512"/>
    <w:rsid w:val="002A4E55"/>
    <w:rsid w:val="002A4EAA"/>
    <w:rsid w:val="002C120D"/>
    <w:rsid w:val="002C2AE7"/>
    <w:rsid w:val="002C3A20"/>
    <w:rsid w:val="002C7FB3"/>
    <w:rsid w:val="002E48F7"/>
    <w:rsid w:val="002F494C"/>
    <w:rsid w:val="003047F7"/>
    <w:rsid w:val="00307E3B"/>
    <w:rsid w:val="00316680"/>
    <w:rsid w:val="00317B12"/>
    <w:rsid w:val="00351B84"/>
    <w:rsid w:val="00353ECF"/>
    <w:rsid w:val="003563C3"/>
    <w:rsid w:val="003901F6"/>
    <w:rsid w:val="003A7B4E"/>
    <w:rsid w:val="003B064F"/>
    <w:rsid w:val="003C4D88"/>
    <w:rsid w:val="003C681B"/>
    <w:rsid w:val="003D3517"/>
    <w:rsid w:val="003D3CB0"/>
    <w:rsid w:val="003D4D84"/>
    <w:rsid w:val="003E122A"/>
    <w:rsid w:val="003E6838"/>
    <w:rsid w:val="003E6FA5"/>
    <w:rsid w:val="00427A32"/>
    <w:rsid w:val="00427FF0"/>
    <w:rsid w:val="00434029"/>
    <w:rsid w:val="00437BE6"/>
    <w:rsid w:val="00452286"/>
    <w:rsid w:val="004537B4"/>
    <w:rsid w:val="004A6977"/>
    <w:rsid w:val="004B18FA"/>
    <w:rsid w:val="004B1B5F"/>
    <w:rsid w:val="004C44B9"/>
    <w:rsid w:val="004F2982"/>
    <w:rsid w:val="00500D21"/>
    <w:rsid w:val="00502543"/>
    <w:rsid w:val="00505172"/>
    <w:rsid w:val="005167C8"/>
    <w:rsid w:val="0053719E"/>
    <w:rsid w:val="00542511"/>
    <w:rsid w:val="00545278"/>
    <w:rsid w:val="00547A0B"/>
    <w:rsid w:val="00574F70"/>
    <w:rsid w:val="005807A6"/>
    <w:rsid w:val="005815D4"/>
    <w:rsid w:val="0059117D"/>
    <w:rsid w:val="005913E3"/>
    <w:rsid w:val="005A0962"/>
    <w:rsid w:val="005B17FE"/>
    <w:rsid w:val="005B2619"/>
    <w:rsid w:val="005B439A"/>
    <w:rsid w:val="005C2234"/>
    <w:rsid w:val="005C2962"/>
    <w:rsid w:val="005D30A9"/>
    <w:rsid w:val="005D3755"/>
    <w:rsid w:val="005E7861"/>
    <w:rsid w:val="006014D0"/>
    <w:rsid w:val="006049AE"/>
    <w:rsid w:val="006063BE"/>
    <w:rsid w:val="00611C59"/>
    <w:rsid w:val="0062702B"/>
    <w:rsid w:val="00636490"/>
    <w:rsid w:val="006527B1"/>
    <w:rsid w:val="00654030"/>
    <w:rsid w:val="006576DE"/>
    <w:rsid w:val="00657D44"/>
    <w:rsid w:val="0067406D"/>
    <w:rsid w:val="0067507C"/>
    <w:rsid w:val="006843C6"/>
    <w:rsid w:val="00684ABA"/>
    <w:rsid w:val="00692BF3"/>
    <w:rsid w:val="006A6EAE"/>
    <w:rsid w:val="006B0851"/>
    <w:rsid w:val="006B2014"/>
    <w:rsid w:val="006B5381"/>
    <w:rsid w:val="006B6F47"/>
    <w:rsid w:val="006C514F"/>
    <w:rsid w:val="00702C63"/>
    <w:rsid w:val="0070412B"/>
    <w:rsid w:val="00711962"/>
    <w:rsid w:val="007123A8"/>
    <w:rsid w:val="007129E3"/>
    <w:rsid w:val="00715615"/>
    <w:rsid w:val="0074209B"/>
    <w:rsid w:val="00751D93"/>
    <w:rsid w:val="00754473"/>
    <w:rsid w:val="00754912"/>
    <w:rsid w:val="00763E52"/>
    <w:rsid w:val="00776B39"/>
    <w:rsid w:val="007810E3"/>
    <w:rsid w:val="007A725B"/>
    <w:rsid w:val="007B32FD"/>
    <w:rsid w:val="007E477E"/>
    <w:rsid w:val="007F26F7"/>
    <w:rsid w:val="007F28EB"/>
    <w:rsid w:val="007F6B28"/>
    <w:rsid w:val="00803B9A"/>
    <w:rsid w:val="00804FC4"/>
    <w:rsid w:val="0080699B"/>
    <w:rsid w:val="00811294"/>
    <w:rsid w:val="00811AE6"/>
    <w:rsid w:val="00822A41"/>
    <w:rsid w:val="008301C9"/>
    <w:rsid w:val="00842DD2"/>
    <w:rsid w:val="0084491B"/>
    <w:rsid w:val="00861B74"/>
    <w:rsid w:val="00867C9A"/>
    <w:rsid w:val="008733BD"/>
    <w:rsid w:val="008828C6"/>
    <w:rsid w:val="008C3D1E"/>
    <w:rsid w:val="008D0093"/>
    <w:rsid w:val="008D560C"/>
    <w:rsid w:val="008E784F"/>
    <w:rsid w:val="009240DC"/>
    <w:rsid w:val="00924B14"/>
    <w:rsid w:val="009452F7"/>
    <w:rsid w:val="009544BA"/>
    <w:rsid w:val="0095772C"/>
    <w:rsid w:val="009604A3"/>
    <w:rsid w:val="00963A45"/>
    <w:rsid w:val="00963EAB"/>
    <w:rsid w:val="00974AF2"/>
    <w:rsid w:val="00981AFF"/>
    <w:rsid w:val="00983D11"/>
    <w:rsid w:val="009A0721"/>
    <w:rsid w:val="009A0F3E"/>
    <w:rsid w:val="009A57F0"/>
    <w:rsid w:val="009B29D0"/>
    <w:rsid w:val="009B3CEE"/>
    <w:rsid w:val="009B68D1"/>
    <w:rsid w:val="009D5C08"/>
    <w:rsid w:val="00A1579B"/>
    <w:rsid w:val="00A16023"/>
    <w:rsid w:val="00A36DA4"/>
    <w:rsid w:val="00A40890"/>
    <w:rsid w:val="00A43405"/>
    <w:rsid w:val="00A4362B"/>
    <w:rsid w:val="00A54587"/>
    <w:rsid w:val="00A573B4"/>
    <w:rsid w:val="00A64AB4"/>
    <w:rsid w:val="00A72369"/>
    <w:rsid w:val="00A75EDC"/>
    <w:rsid w:val="00A833B9"/>
    <w:rsid w:val="00AA1D02"/>
    <w:rsid w:val="00AA54FB"/>
    <w:rsid w:val="00AB537D"/>
    <w:rsid w:val="00AD09C9"/>
    <w:rsid w:val="00AD38B4"/>
    <w:rsid w:val="00AD41FF"/>
    <w:rsid w:val="00AD4275"/>
    <w:rsid w:val="00B044FB"/>
    <w:rsid w:val="00B15E39"/>
    <w:rsid w:val="00B270D6"/>
    <w:rsid w:val="00B3313A"/>
    <w:rsid w:val="00B45933"/>
    <w:rsid w:val="00B540E5"/>
    <w:rsid w:val="00B6605C"/>
    <w:rsid w:val="00B76B3E"/>
    <w:rsid w:val="00B837F8"/>
    <w:rsid w:val="00B86725"/>
    <w:rsid w:val="00BA08D7"/>
    <w:rsid w:val="00BA1280"/>
    <w:rsid w:val="00BA1651"/>
    <w:rsid w:val="00BA188B"/>
    <w:rsid w:val="00BB31F6"/>
    <w:rsid w:val="00BB5EFE"/>
    <w:rsid w:val="00BF46E3"/>
    <w:rsid w:val="00BF7104"/>
    <w:rsid w:val="00C079D4"/>
    <w:rsid w:val="00C13FDE"/>
    <w:rsid w:val="00C201B9"/>
    <w:rsid w:val="00C361B3"/>
    <w:rsid w:val="00C70FD3"/>
    <w:rsid w:val="00C72399"/>
    <w:rsid w:val="00C84A06"/>
    <w:rsid w:val="00C91AC2"/>
    <w:rsid w:val="00C936FB"/>
    <w:rsid w:val="00CB11C9"/>
    <w:rsid w:val="00CC12EC"/>
    <w:rsid w:val="00CD4890"/>
    <w:rsid w:val="00CD5F37"/>
    <w:rsid w:val="00CE25BE"/>
    <w:rsid w:val="00CF01C0"/>
    <w:rsid w:val="00CF0DA9"/>
    <w:rsid w:val="00CF51EF"/>
    <w:rsid w:val="00CF5321"/>
    <w:rsid w:val="00D172E6"/>
    <w:rsid w:val="00D17EAB"/>
    <w:rsid w:val="00D31BCF"/>
    <w:rsid w:val="00D35C9C"/>
    <w:rsid w:val="00D366F7"/>
    <w:rsid w:val="00D41500"/>
    <w:rsid w:val="00D47696"/>
    <w:rsid w:val="00D60240"/>
    <w:rsid w:val="00D619EC"/>
    <w:rsid w:val="00D63331"/>
    <w:rsid w:val="00D67814"/>
    <w:rsid w:val="00D75EED"/>
    <w:rsid w:val="00D77F05"/>
    <w:rsid w:val="00D81D2F"/>
    <w:rsid w:val="00DB6775"/>
    <w:rsid w:val="00DC53A4"/>
    <w:rsid w:val="00DC7417"/>
    <w:rsid w:val="00DD327C"/>
    <w:rsid w:val="00DF6A32"/>
    <w:rsid w:val="00DF6FA0"/>
    <w:rsid w:val="00E00DCC"/>
    <w:rsid w:val="00E041B5"/>
    <w:rsid w:val="00E26645"/>
    <w:rsid w:val="00E37A5C"/>
    <w:rsid w:val="00E40E43"/>
    <w:rsid w:val="00E56CE7"/>
    <w:rsid w:val="00E70363"/>
    <w:rsid w:val="00E77D27"/>
    <w:rsid w:val="00E94375"/>
    <w:rsid w:val="00E97710"/>
    <w:rsid w:val="00EB0C05"/>
    <w:rsid w:val="00EC20C1"/>
    <w:rsid w:val="00EC35AC"/>
    <w:rsid w:val="00ED4597"/>
    <w:rsid w:val="00EE19D6"/>
    <w:rsid w:val="00F117C6"/>
    <w:rsid w:val="00F11AF0"/>
    <w:rsid w:val="00F177CE"/>
    <w:rsid w:val="00F27131"/>
    <w:rsid w:val="00F40E3E"/>
    <w:rsid w:val="00F51D52"/>
    <w:rsid w:val="00F55CAE"/>
    <w:rsid w:val="00F56D41"/>
    <w:rsid w:val="00F67972"/>
    <w:rsid w:val="00F77684"/>
    <w:rsid w:val="00F77C08"/>
    <w:rsid w:val="00F90D2E"/>
    <w:rsid w:val="00F934EC"/>
    <w:rsid w:val="00F95AC4"/>
    <w:rsid w:val="00FA1A85"/>
    <w:rsid w:val="00FA5C27"/>
    <w:rsid w:val="00FC0E20"/>
    <w:rsid w:val="00FE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EB2E42"/>
  <w15:docId w15:val="{011533DE-B6ED-478A-AD29-A00DBAE89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F6797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nhideWhenUsed/>
    <w:rsid w:val="00F117C6"/>
    <w:pPr>
      <w:tabs>
        <w:tab w:val="center" w:pos="4680"/>
        <w:tab w:val="right" w:pos="9360"/>
      </w:tabs>
    </w:pPr>
  </w:style>
  <w:style w:type="character" w:customStyle="1" w:styleId="FooterChar">
    <w:name w:val="Footer Char"/>
    <w:basedOn w:val="DefaultParagraphFont"/>
    <w:link w:val="Footer"/>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uiPriority w:val="99"/>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paragraph" w:styleId="EndnoteText">
    <w:name w:val="endnote text"/>
    <w:basedOn w:val="Normal"/>
    <w:link w:val="EndnoteTextChar"/>
    <w:rsid w:val="00E40E43"/>
    <w:rPr>
      <w:rFonts w:ascii="Times New Roman" w:hAnsi="Times New Roman"/>
      <w:sz w:val="20"/>
      <w:szCs w:val="20"/>
    </w:rPr>
  </w:style>
  <w:style w:type="character" w:customStyle="1" w:styleId="EndnoteTextChar">
    <w:name w:val="Endnote Text Char"/>
    <w:basedOn w:val="DefaultParagraphFont"/>
    <w:link w:val="EndnoteText"/>
    <w:rsid w:val="00E40E43"/>
    <w:rPr>
      <w:rFonts w:ascii="Times New Roman" w:eastAsia="Times New Roman" w:hAnsi="Times New Roman" w:cs="Times New Roman"/>
      <w:sz w:val="20"/>
      <w:szCs w:val="20"/>
    </w:rPr>
  </w:style>
  <w:style w:type="character" w:styleId="Strong">
    <w:name w:val="Strong"/>
    <w:qFormat/>
    <w:rsid w:val="00542511"/>
    <w:rPr>
      <w:b/>
      <w:bCs/>
    </w:rPr>
  </w:style>
  <w:style w:type="table" w:customStyle="1" w:styleId="TableGrid11">
    <w:name w:val="Table Grid11"/>
    <w:basedOn w:val="TableNormal"/>
    <w:next w:val="TableGrid"/>
    <w:rsid w:val="00542511"/>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67972"/>
    <w:rPr>
      <w:rFonts w:asciiTheme="majorHAnsi" w:eastAsiaTheme="majorEastAsia" w:hAnsiTheme="majorHAnsi" w:cstheme="majorBidi"/>
      <w:b/>
      <w:bCs/>
      <w:color w:val="4F81BD" w:themeColor="accent1"/>
      <w:szCs w:val="24"/>
    </w:rPr>
  </w:style>
  <w:style w:type="paragraph" w:customStyle="1" w:styleId="WPText">
    <w:name w:val="WP Text"/>
    <w:link w:val="WPTextChar"/>
    <w:rsid w:val="00B837F8"/>
    <w:pPr>
      <w:spacing w:after="0" w:line="240" w:lineRule="auto"/>
    </w:pPr>
    <w:rPr>
      <w:rFonts w:ascii="Times New Roman" w:eastAsia="Times New Roman" w:hAnsi="Times New Roman" w:cs="Times New Roman"/>
      <w:sz w:val="24"/>
      <w:szCs w:val="24"/>
    </w:rPr>
  </w:style>
  <w:style w:type="character" w:customStyle="1" w:styleId="WPTextChar">
    <w:name w:val="WP Text Char"/>
    <w:link w:val="WPText"/>
    <w:rsid w:val="00B837F8"/>
    <w:rPr>
      <w:rFonts w:ascii="Times New Roman" w:eastAsia="Times New Roman" w:hAnsi="Times New Roman" w:cs="Times New Roman"/>
      <w:sz w:val="24"/>
      <w:szCs w:val="24"/>
    </w:rPr>
  </w:style>
  <w:style w:type="paragraph" w:customStyle="1" w:styleId="Reminder">
    <w:name w:val="Reminder"/>
    <w:basedOn w:val="Reminders"/>
    <w:link w:val="ReminderChar"/>
    <w:rsid w:val="0021346C"/>
    <w:rPr>
      <w:sz w:val="24"/>
    </w:rPr>
  </w:style>
  <w:style w:type="character" w:customStyle="1" w:styleId="ReminderChar">
    <w:name w:val="Reminder Char"/>
    <w:basedOn w:val="RemindersChar"/>
    <w:link w:val="Reminder"/>
    <w:locked/>
    <w:rsid w:val="0021346C"/>
    <w:rPr>
      <w:rFonts w:ascii="Trebuchet MS" w:eastAsia="Times New Roman" w:hAnsi="Trebuchet MS" w:cs="Times New Roman"/>
      <w:i/>
      <w:color w:val="FF0000"/>
      <w:sz w:val="24"/>
      <w:szCs w:val="24"/>
    </w:rPr>
  </w:style>
  <w:style w:type="paragraph" w:customStyle="1" w:styleId="Default">
    <w:name w:val="Default"/>
    <w:rsid w:val="006B6F47"/>
    <w:pPr>
      <w:autoSpaceDE w:val="0"/>
      <w:autoSpaceDN w:val="0"/>
      <w:adjustRightInd w:val="0"/>
      <w:spacing w:after="0" w:line="240" w:lineRule="auto"/>
    </w:pPr>
    <w:rPr>
      <w:rFonts w:ascii="Calibri" w:hAnsi="Calibri" w:cs="Calibri"/>
      <w:color w:val="000000"/>
      <w:sz w:val="24"/>
      <w:szCs w:val="24"/>
    </w:rPr>
  </w:style>
  <w:style w:type="paragraph" w:customStyle="1" w:styleId="TableParagraph">
    <w:name w:val="Table Paragraph"/>
    <w:basedOn w:val="Normal"/>
    <w:uiPriority w:val="1"/>
    <w:qFormat/>
    <w:rsid w:val="00AD09C9"/>
    <w:pPr>
      <w:autoSpaceDE w:val="0"/>
      <w:autoSpaceDN w:val="0"/>
      <w:adjustRightInd w:val="0"/>
      <w:spacing w:line="243" w:lineRule="exact"/>
      <w:ind w:left="103"/>
    </w:pPr>
    <w:rPr>
      <w:rFonts w:ascii="Calibri" w:eastAsiaTheme="minorHAnsi" w:hAnsi="Calibri" w:cs="Calibri"/>
      <w:sz w:val="24"/>
    </w:rPr>
  </w:style>
  <w:style w:type="paragraph" w:styleId="BodyText">
    <w:name w:val="Body Text"/>
    <w:basedOn w:val="Normal"/>
    <w:link w:val="BodyTextChar"/>
    <w:uiPriority w:val="1"/>
    <w:qFormat/>
    <w:rsid w:val="00EC35AC"/>
    <w:pPr>
      <w:autoSpaceDE w:val="0"/>
      <w:autoSpaceDN w:val="0"/>
      <w:adjustRightInd w:val="0"/>
      <w:spacing w:before="2"/>
    </w:pPr>
    <w:rPr>
      <w:rFonts w:ascii="Calibri" w:eastAsiaTheme="minorHAnsi" w:hAnsi="Calibri" w:cs="Calibri"/>
      <w:b/>
      <w:bCs/>
      <w:szCs w:val="22"/>
    </w:rPr>
  </w:style>
  <w:style w:type="character" w:customStyle="1" w:styleId="BodyTextChar">
    <w:name w:val="Body Text Char"/>
    <w:basedOn w:val="DefaultParagraphFont"/>
    <w:link w:val="BodyText"/>
    <w:uiPriority w:val="1"/>
    <w:rsid w:val="00EC35AC"/>
    <w:rPr>
      <w:rFonts w:ascii="Calibri" w:hAnsi="Calibri" w:cs="Calibri"/>
      <w:b/>
      <w:bCs/>
    </w:rPr>
  </w:style>
  <w:style w:type="paragraph" w:styleId="Revision">
    <w:name w:val="Revision"/>
    <w:hidden/>
    <w:uiPriority w:val="99"/>
    <w:semiHidden/>
    <w:rsid w:val="00715615"/>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9697">
      <w:bodyDiv w:val="1"/>
      <w:marLeft w:val="0"/>
      <w:marRight w:val="0"/>
      <w:marTop w:val="0"/>
      <w:marBottom w:val="0"/>
      <w:divBdr>
        <w:top w:val="none" w:sz="0" w:space="0" w:color="auto"/>
        <w:left w:val="none" w:sz="0" w:space="0" w:color="auto"/>
        <w:bottom w:val="none" w:sz="0" w:space="0" w:color="auto"/>
        <w:right w:val="none" w:sz="0" w:space="0" w:color="auto"/>
      </w:divBdr>
    </w:div>
    <w:div w:id="654189879">
      <w:bodyDiv w:val="1"/>
      <w:marLeft w:val="0"/>
      <w:marRight w:val="0"/>
      <w:marTop w:val="0"/>
      <w:marBottom w:val="0"/>
      <w:divBdr>
        <w:top w:val="none" w:sz="0" w:space="0" w:color="auto"/>
        <w:left w:val="none" w:sz="0" w:space="0" w:color="auto"/>
        <w:bottom w:val="none" w:sz="0" w:space="0" w:color="auto"/>
        <w:right w:val="none" w:sz="0" w:space="0" w:color="auto"/>
      </w:divBdr>
    </w:div>
    <w:div w:id="117153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1C3A54D61944DBB3D63B92C982C696"/>
        <w:category>
          <w:name w:val="General"/>
          <w:gallery w:val="placeholder"/>
        </w:category>
        <w:types>
          <w:type w:val="bbPlcHdr"/>
        </w:types>
        <w:behaviors>
          <w:behavior w:val="content"/>
        </w:behaviors>
        <w:guid w:val="{F650BA68-2FED-4C03-A228-33EEEE5F70A1}"/>
      </w:docPartPr>
      <w:docPartBody>
        <w:p w:rsidR="005C5C4F" w:rsidRDefault="001F1348" w:rsidP="001F1348">
          <w:pPr>
            <w:pStyle w:val="2D1C3A54D61944DBB3D63B92C982C696"/>
          </w:pPr>
          <w:r w:rsidRPr="0033327F">
            <w:rPr>
              <w:rStyle w:val="PlaceholderText"/>
            </w:rPr>
            <w:t>[Title]</w:t>
          </w:r>
        </w:p>
      </w:docPartBody>
    </w:docPart>
    <w:docPart>
      <w:docPartPr>
        <w:name w:val="5420FAF41CED451EAB8369D8BC2C0B60"/>
        <w:category>
          <w:name w:val="General"/>
          <w:gallery w:val="placeholder"/>
        </w:category>
        <w:types>
          <w:type w:val="bbPlcHdr"/>
        </w:types>
        <w:behaviors>
          <w:behavior w:val="content"/>
        </w:behaviors>
        <w:guid w:val="{07636B28-D62B-4A70-8ACE-F496EEC0C22D}"/>
      </w:docPartPr>
      <w:docPartBody>
        <w:p w:rsidR="005C5C4F" w:rsidRDefault="001F1348" w:rsidP="001F1348">
          <w:pPr>
            <w:pStyle w:val="5420FAF41CED451EAB8369D8BC2C0B60"/>
          </w:pPr>
          <w:r w:rsidRPr="0033327F">
            <w:rPr>
              <w:rStyle w:val="PlaceholderText"/>
            </w:rPr>
            <w:t>[Status]</w:t>
          </w:r>
        </w:p>
      </w:docPartBody>
    </w:docPart>
    <w:docPart>
      <w:docPartPr>
        <w:name w:val="954041495DA644508C725EBE45A9A075"/>
        <w:category>
          <w:name w:val="General"/>
          <w:gallery w:val="placeholder"/>
        </w:category>
        <w:types>
          <w:type w:val="bbPlcHdr"/>
        </w:types>
        <w:behaviors>
          <w:behavior w:val="content"/>
        </w:behaviors>
        <w:guid w:val="{E0F9CD43-C7D6-4BD6-B31F-DEA4DFBB8C2B}"/>
      </w:docPartPr>
      <w:docPartBody>
        <w:p w:rsidR="005C5C4F" w:rsidRDefault="001F1348" w:rsidP="001F1348">
          <w:pPr>
            <w:pStyle w:val="954041495DA644508C725EBE45A9A075"/>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348"/>
    <w:rsid w:val="00062309"/>
    <w:rsid w:val="00094A67"/>
    <w:rsid w:val="000E697B"/>
    <w:rsid w:val="00102DA5"/>
    <w:rsid w:val="00166D59"/>
    <w:rsid w:val="00184C22"/>
    <w:rsid w:val="001F1348"/>
    <w:rsid w:val="0023512F"/>
    <w:rsid w:val="00306DAD"/>
    <w:rsid w:val="00344BC0"/>
    <w:rsid w:val="0037586B"/>
    <w:rsid w:val="003B198D"/>
    <w:rsid w:val="004071DC"/>
    <w:rsid w:val="004E7D02"/>
    <w:rsid w:val="005C5C4F"/>
    <w:rsid w:val="006E695C"/>
    <w:rsid w:val="00780E3A"/>
    <w:rsid w:val="007B00D5"/>
    <w:rsid w:val="007C317C"/>
    <w:rsid w:val="007E2A46"/>
    <w:rsid w:val="0080389C"/>
    <w:rsid w:val="0081757C"/>
    <w:rsid w:val="008262D6"/>
    <w:rsid w:val="008715A6"/>
    <w:rsid w:val="008D7252"/>
    <w:rsid w:val="008E1A68"/>
    <w:rsid w:val="00A27CF8"/>
    <w:rsid w:val="00AC1BF4"/>
    <w:rsid w:val="00C17C9C"/>
    <w:rsid w:val="00C25CB0"/>
    <w:rsid w:val="00D044EC"/>
    <w:rsid w:val="00D42D72"/>
    <w:rsid w:val="00D92837"/>
    <w:rsid w:val="00E10984"/>
    <w:rsid w:val="00E41F35"/>
    <w:rsid w:val="00E947C7"/>
    <w:rsid w:val="00ED1317"/>
    <w:rsid w:val="00EE60A5"/>
    <w:rsid w:val="00F12837"/>
    <w:rsid w:val="00F501EF"/>
    <w:rsid w:val="00F814FC"/>
    <w:rsid w:val="00F90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0984"/>
    <w:rPr>
      <w:color w:val="808080"/>
    </w:rPr>
  </w:style>
  <w:style w:type="paragraph" w:customStyle="1" w:styleId="2D1C3A54D61944DBB3D63B92C982C696">
    <w:name w:val="2D1C3A54D61944DBB3D63B92C982C696"/>
    <w:rsid w:val="001F1348"/>
  </w:style>
  <w:style w:type="paragraph" w:customStyle="1" w:styleId="5420FAF41CED451EAB8369D8BC2C0B60">
    <w:name w:val="5420FAF41CED451EAB8369D8BC2C0B60"/>
    <w:rsid w:val="001F1348"/>
  </w:style>
  <w:style w:type="paragraph" w:customStyle="1" w:styleId="954041495DA644508C725EBE45A9A075">
    <w:name w:val="954041495DA644508C725EBE45A9A075"/>
    <w:rsid w:val="001F1348"/>
  </w:style>
  <w:style w:type="paragraph" w:customStyle="1" w:styleId="8C46EF96C9FB444D8B5F08F2D49CB598">
    <w:name w:val="8C46EF96C9FB444D8B5F08F2D49CB598"/>
    <w:rsid w:val="00306DAD"/>
    <w:pPr>
      <w:spacing w:after="160" w:line="259" w:lineRule="auto"/>
    </w:pPr>
  </w:style>
  <w:style w:type="paragraph" w:customStyle="1" w:styleId="450E4005F0DD044EA9838BAF8414B1D2">
    <w:name w:val="450E4005F0DD044EA9838BAF8414B1D2"/>
    <w:rsid w:val="00ED1317"/>
    <w:pPr>
      <w:spacing w:after="0" w:line="240" w:lineRule="auto"/>
    </w:pPr>
    <w:rPr>
      <w:sz w:val="24"/>
      <w:szCs w:val="24"/>
    </w:rPr>
  </w:style>
  <w:style w:type="paragraph" w:customStyle="1" w:styleId="A1185E6164C44CF289CAB2537571A0A4">
    <w:name w:val="A1185E6164C44CF289CAB2537571A0A4"/>
    <w:rsid w:val="00E10984"/>
    <w:pPr>
      <w:spacing w:after="160" w:line="259" w:lineRule="auto"/>
    </w:pPr>
  </w:style>
  <w:style w:type="paragraph" w:customStyle="1" w:styleId="EB4415B369664EA09231DB7ACDB3B712">
    <w:name w:val="EB4415B369664EA09231DB7ACDB3B712"/>
    <w:rsid w:val="00E1098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7F61F-8506-438B-90B1-D6720CA4E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679</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WPSDGENRRN0016</vt:lpstr>
    </vt:vector>
  </TitlesOfParts>
  <Company>San Diego Gas &amp; Electric</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WPSDGENRRN0016</dc:title>
  <dc:creator>Mark 2009</dc:creator>
  <cp:lastModifiedBy>Reynoso, Ed</cp:lastModifiedBy>
  <cp:revision>3</cp:revision>
  <dcterms:created xsi:type="dcterms:W3CDTF">2017-10-05T18:38:00Z</dcterms:created>
  <dcterms:modified xsi:type="dcterms:W3CDTF">2017-10-13T10:22:00Z</dcterms:modified>
  <cp:contentStatus>Revision 0</cp:contentStatus>
</cp:coreProperties>
</file>